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69D81" w14:textId="77777777" w:rsidR="000F329D" w:rsidRPr="00414D2B" w:rsidRDefault="000F329D" w:rsidP="004E0A98">
      <w:pPr>
        <w:spacing w:after="0" w:line="240" w:lineRule="auto"/>
        <w:ind w:left="57" w:right="57"/>
        <w:jc w:val="center"/>
        <w:rPr>
          <w:rFonts w:ascii="Arial" w:hAnsi="Arial" w:cs="Arial"/>
          <w:b/>
          <w:bCs/>
          <w:color w:val="FF0000"/>
          <w:sz w:val="24"/>
          <w:szCs w:val="24"/>
        </w:rPr>
      </w:pPr>
    </w:p>
    <w:p w14:paraId="2D6DE623" w14:textId="77777777" w:rsidR="000F329D" w:rsidRPr="00C40000" w:rsidRDefault="000F329D" w:rsidP="004E0A98">
      <w:pPr>
        <w:spacing w:after="0" w:line="240" w:lineRule="auto"/>
        <w:ind w:left="57" w:right="57"/>
        <w:jc w:val="center"/>
        <w:rPr>
          <w:rFonts w:ascii="Arial" w:hAnsi="Arial" w:cs="Arial"/>
          <w:b/>
          <w:bCs/>
          <w:sz w:val="24"/>
          <w:szCs w:val="24"/>
        </w:rPr>
      </w:pPr>
    </w:p>
    <w:p w14:paraId="4D8445FD" w14:textId="77777777" w:rsidR="00DD786E" w:rsidRDefault="00DD786E" w:rsidP="004E0A98">
      <w:pPr>
        <w:spacing w:after="0" w:line="240" w:lineRule="auto"/>
        <w:ind w:left="57" w:right="57"/>
        <w:jc w:val="center"/>
        <w:rPr>
          <w:rFonts w:ascii="Arial" w:hAnsi="Arial" w:cs="Arial"/>
          <w:b/>
          <w:bCs/>
          <w:sz w:val="24"/>
          <w:szCs w:val="24"/>
        </w:rPr>
      </w:pPr>
    </w:p>
    <w:p w14:paraId="65181370" w14:textId="1AD9C97B" w:rsidR="00EC0B0E" w:rsidRDefault="00EC0B0E" w:rsidP="004E0A98">
      <w:pPr>
        <w:spacing w:after="0" w:line="240" w:lineRule="auto"/>
        <w:ind w:left="57" w:right="57"/>
        <w:jc w:val="center"/>
        <w:rPr>
          <w:rFonts w:ascii="Arial" w:hAnsi="Arial" w:cs="Arial"/>
          <w:b/>
          <w:bCs/>
          <w:sz w:val="24"/>
          <w:szCs w:val="24"/>
        </w:rPr>
      </w:pPr>
      <w:r>
        <w:rPr>
          <w:rFonts w:ascii="Arial" w:hAnsi="Arial" w:cs="Arial"/>
          <w:b/>
          <w:bCs/>
          <w:sz w:val="24"/>
          <w:szCs w:val="24"/>
        </w:rPr>
        <w:t>ANALIS</w:t>
      </w:r>
      <w:r w:rsidR="00763F92">
        <w:rPr>
          <w:rFonts w:ascii="Arial" w:hAnsi="Arial" w:cs="Arial"/>
          <w:b/>
          <w:bCs/>
          <w:sz w:val="24"/>
          <w:szCs w:val="24"/>
        </w:rPr>
        <w:t>IS</w:t>
      </w:r>
      <w:r>
        <w:rPr>
          <w:rFonts w:ascii="Arial" w:hAnsi="Arial" w:cs="Arial"/>
          <w:b/>
          <w:bCs/>
          <w:sz w:val="24"/>
          <w:szCs w:val="24"/>
        </w:rPr>
        <w:t xml:space="preserve"> </w:t>
      </w:r>
      <w:r w:rsidR="006F747A">
        <w:rPr>
          <w:rFonts w:ascii="Arial" w:hAnsi="Arial" w:cs="Arial"/>
          <w:b/>
          <w:bCs/>
          <w:sz w:val="24"/>
          <w:szCs w:val="24"/>
        </w:rPr>
        <w:t>DE PRIORIZACIÓN</w:t>
      </w:r>
      <w:r w:rsidR="00811A49" w:rsidRPr="00C40000">
        <w:rPr>
          <w:rFonts w:ascii="Arial" w:hAnsi="Arial" w:cs="Arial"/>
          <w:b/>
          <w:bCs/>
          <w:sz w:val="24"/>
          <w:szCs w:val="24"/>
        </w:rPr>
        <w:t xml:space="preserve"> DE </w:t>
      </w:r>
      <w:r w:rsidR="00AB1CCC">
        <w:rPr>
          <w:rFonts w:ascii="Arial" w:hAnsi="Arial" w:cs="Arial"/>
          <w:b/>
          <w:bCs/>
          <w:sz w:val="24"/>
          <w:szCs w:val="24"/>
        </w:rPr>
        <w:t>ACTORES</w:t>
      </w:r>
      <w:r w:rsidR="008A6988">
        <w:rPr>
          <w:rFonts w:ascii="Arial" w:hAnsi="Arial" w:cs="Arial"/>
          <w:b/>
          <w:bCs/>
          <w:sz w:val="24"/>
          <w:szCs w:val="24"/>
        </w:rPr>
        <w:t xml:space="preserve"> </w:t>
      </w:r>
    </w:p>
    <w:p w14:paraId="52B51CAA" w14:textId="2F9C5DAC" w:rsidR="00811A49" w:rsidRPr="00C40000" w:rsidRDefault="00471ECF" w:rsidP="00EC0B0E">
      <w:pPr>
        <w:spacing w:after="0" w:line="240" w:lineRule="auto"/>
        <w:ind w:left="57" w:right="57"/>
        <w:jc w:val="center"/>
        <w:rPr>
          <w:rFonts w:ascii="Arial" w:hAnsi="Arial" w:cs="Arial"/>
          <w:b/>
          <w:bCs/>
          <w:sz w:val="24"/>
          <w:szCs w:val="24"/>
        </w:rPr>
      </w:pPr>
      <w:r>
        <w:rPr>
          <w:rFonts w:ascii="Arial" w:hAnsi="Arial" w:cs="Arial"/>
          <w:b/>
          <w:bCs/>
          <w:sz w:val="24"/>
          <w:szCs w:val="24"/>
        </w:rPr>
        <w:t xml:space="preserve"> PLAN</w:t>
      </w:r>
      <w:r w:rsidR="00EC0B0E">
        <w:rPr>
          <w:rFonts w:ascii="Arial" w:hAnsi="Arial" w:cs="Arial"/>
          <w:b/>
          <w:bCs/>
          <w:sz w:val="24"/>
          <w:szCs w:val="24"/>
        </w:rPr>
        <w:t xml:space="preserve"> </w:t>
      </w:r>
      <w:r w:rsidR="00811A49" w:rsidRPr="00C40000">
        <w:rPr>
          <w:rFonts w:ascii="Arial" w:hAnsi="Arial" w:cs="Arial"/>
          <w:b/>
          <w:bCs/>
          <w:sz w:val="24"/>
          <w:szCs w:val="24"/>
        </w:rPr>
        <w:t xml:space="preserve">DE DESARROLLO DE CAPACIDADES </w:t>
      </w:r>
      <w:r w:rsidR="008A6988">
        <w:rPr>
          <w:rFonts w:ascii="Arial" w:hAnsi="Arial" w:cs="Arial"/>
          <w:b/>
          <w:bCs/>
          <w:sz w:val="24"/>
          <w:szCs w:val="24"/>
        </w:rPr>
        <w:t>(ENTORNO INSTITUCIONAL)</w:t>
      </w:r>
      <w:r w:rsidR="008A6988" w:rsidRPr="00C40000">
        <w:rPr>
          <w:rFonts w:ascii="Arial" w:hAnsi="Arial" w:cs="Arial"/>
          <w:b/>
          <w:bCs/>
          <w:sz w:val="24"/>
          <w:szCs w:val="24"/>
        </w:rPr>
        <w:t xml:space="preserve"> VIGENCIA</w:t>
      </w:r>
      <w:r w:rsidR="00811A49" w:rsidRPr="00C40000">
        <w:rPr>
          <w:rFonts w:ascii="Arial" w:hAnsi="Arial" w:cs="Arial"/>
          <w:b/>
          <w:bCs/>
          <w:sz w:val="24"/>
          <w:szCs w:val="24"/>
        </w:rPr>
        <w:t xml:space="preserve"> 2025</w:t>
      </w:r>
    </w:p>
    <w:p w14:paraId="363EE45D" w14:textId="77777777" w:rsidR="0017100E" w:rsidRDefault="0017100E" w:rsidP="004E0A98">
      <w:pPr>
        <w:spacing w:after="0" w:line="360" w:lineRule="auto"/>
        <w:ind w:left="57" w:right="57"/>
        <w:jc w:val="both"/>
        <w:rPr>
          <w:rFonts w:ascii="Arial" w:hAnsi="Arial" w:cs="Arial"/>
          <w:b/>
          <w:bCs/>
          <w:color w:val="FF0000"/>
          <w:sz w:val="24"/>
          <w:szCs w:val="24"/>
        </w:rPr>
      </w:pPr>
    </w:p>
    <w:p w14:paraId="339E21B1" w14:textId="77777777" w:rsidR="00BF1A86" w:rsidRPr="00414D2B" w:rsidRDefault="00BF1A86" w:rsidP="004E0A98">
      <w:pPr>
        <w:spacing w:after="0" w:line="360" w:lineRule="auto"/>
        <w:ind w:left="57" w:right="57"/>
        <w:jc w:val="both"/>
        <w:rPr>
          <w:rFonts w:ascii="Arial" w:hAnsi="Arial" w:cs="Arial"/>
          <w:b/>
          <w:bCs/>
          <w:color w:val="FF0000"/>
          <w:sz w:val="24"/>
          <w:szCs w:val="24"/>
        </w:rPr>
      </w:pPr>
    </w:p>
    <w:p w14:paraId="16B6EE34" w14:textId="77777777" w:rsidR="00034567" w:rsidRDefault="00034567" w:rsidP="004E0A98">
      <w:pPr>
        <w:spacing w:after="0" w:line="360" w:lineRule="auto"/>
        <w:ind w:left="57" w:right="57"/>
        <w:jc w:val="both"/>
        <w:rPr>
          <w:rFonts w:ascii="Arial" w:hAnsi="Arial" w:cs="Arial"/>
          <w:b/>
          <w:bCs/>
          <w:color w:val="FF0000"/>
          <w:sz w:val="24"/>
          <w:szCs w:val="24"/>
        </w:rPr>
      </w:pPr>
    </w:p>
    <w:p w14:paraId="3E2538FB" w14:textId="77777777" w:rsidR="0026506A" w:rsidRPr="00414D2B" w:rsidRDefault="0026506A" w:rsidP="004E0A98">
      <w:pPr>
        <w:spacing w:after="0" w:line="360" w:lineRule="auto"/>
        <w:ind w:left="57" w:right="57"/>
        <w:jc w:val="both"/>
        <w:rPr>
          <w:rFonts w:ascii="Arial" w:hAnsi="Arial" w:cs="Arial"/>
          <w:b/>
          <w:bCs/>
          <w:color w:val="FF0000"/>
          <w:sz w:val="24"/>
          <w:szCs w:val="24"/>
        </w:rPr>
      </w:pPr>
    </w:p>
    <w:p w14:paraId="1FF24DEA" w14:textId="2DA3D6D0" w:rsidR="00AA3F5A" w:rsidRDefault="00034567" w:rsidP="00AA3F5A">
      <w:pPr>
        <w:spacing w:after="0" w:line="360" w:lineRule="auto"/>
        <w:ind w:left="57" w:right="57"/>
        <w:jc w:val="both"/>
        <w:rPr>
          <w:rFonts w:ascii="Arial" w:hAnsi="Arial" w:cs="Arial"/>
          <w:b/>
          <w:bCs/>
          <w:sz w:val="24"/>
          <w:szCs w:val="24"/>
        </w:rPr>
      </w:pPr>
      <w:r w:rsidRPr="000A5591">
        <w:rPr>
          <w:rFonts w:ascii="Arial" w:hAnsi="Arial" w:cs="Arial"/>
          <w:b/>
          <w:bCs/>
          <w:sz w:val="24"/>
          <w:szCs w:val="24"/>
        </w:rPr>
        <w:t>CONTENIDO</w:t>
      </w:r>
    </w:p>
    <w:p w14:paraId="66EA9799" w14:textId="77777777" w:rsidR="00FD34B2" w:rsidRDefault="00FD34B2" w:rsidP="00AA3F5A">
      <w:pPr>
        <w:spacing w:after="0" w:line="360" w:lineRule="auto"/>
        <w:ind w:left="57" w:right="57"/>
        <w:jc w:val="both"/>
        <w:rPr>
          <w:rFonts w:ascii="Arial" w:hAnsi="Arial" w:cs="Arial"/>
          <w:sz w:val="24"/>
          <w:szCs w:val="24"/>
        </w:rPr>
      </w:pPr>
    </w:p>
    <w:p w14:paraId="6E189952" w14:textId="77777777" w:rsidR="00AA3F5A" w:rsidRPr="00AA3F5A" w:rsidRDefault="00AA3F5A" w:rsidP="00AA3F5A">
      <w:pPr>
        <w:pStyle w:val="Prrafodelista"/>
        <w:numPr>
          <w:ilvl w:val="0"/>
          <w:numId w:val="13"/>
        </w:numPr>
        <w:spacing w:after="0" w:line="360" w:lineRule="auto"/>
        <w:ind w:left="57" w:right="57"/>
        <w:jc w:val="both"/>
        <w:rPr>
          <w:rFonts w:ascii="Arial" w:hAnsi="Arial" w:cs="Arial"/>
          <w:sz w:val="24"/>
          <w:szCs w:val="24"/>
        </w:rPr>
      </w:pPr>
      <w:r w:rsidRPr="00AA3F5A">
        <w:rPr>
          <w:rFonts w:ascii="Arial" w:hAnsi="Arial" w:cs="Arial"/>
          <w:sz w:val="24"/>
          <w:szCs w:val="24"/>
        </w:rPr>
        <w:t>JUSTIFICACIÓN</w:t>
      </w:r>
    </w:p>
    <w:p w14:paraId="721530DD" w14:textId="14C57E7D" w:rsidR="007D6077" w:rsidRPr="000A5591" w:rsidRDefault="007D6077" w:rsidP="004E0A98">
      <w:pPr>
        <w:pStyle w:val="Prrafodelista"/>
        <w:numPr>
          <w:ilvl w:val="0"/>
          <w:numId w:val="13"/>
        </w:numPr>
        <w:spacing w:after="0" w:line="360" w:lineRule="auto"/>
        <w:ind w:left="57" w:right="57"/>
        <w:jc w:val="both"/>
        <w:rPr>
          <w:rFonts w:ascii="Arial" w:hAnsi="Arial" w:cs="Arial"/>
          <w:sz w:val="24"/>
          <w:szCs w:val="24"/>
        </w:rPr>
      </w:pPr>
      <w:r w:rsidRPr="000A5591">
        <w:rPr>
          <w:rFonts w:ascii="Arial" w:hAnsi="Arial" w:cs="Arial"/>
          <w:sz w:val="24"/>
          <w:szCs w:val="24"/>
        </w:rPr>
        <w:t>OBJETIVO GENERAL</w:t>
      </w:r>
    </w:p>
    <w:p w14:paraId="4F760A9B" w14:textId="50D9241A" w:rsidR="007D6077" w:rsidRPr="000A5591" w:rsidRDefault="007D67B1" w:rsidP="007D67B1">
      <w:pPr>
        <w:spacing w:after="0" w:line="360" w:lineRule="auto"/>
        <w:ind w:left="-303" w:right="57"/>
        <w:jc w:val="both"/>
        <w:rPr>
          <w:rFonts w:ascii="Arial" w:hAnsi="Arial" w:cs="Arial"/>
          <w:sz w:val="24"/>
          <w:szCs w:val="24"/>
        </w:rPr>
      </w:pPr>
      <w:r w:rsidRPr="000A5591">
        <w:rPr>
          <w:rFonts w:ascii="Arial" w:hAnsi="Arial" w:cs="Arial"/>
          <w:sz w:val="24"/>
          <w:szCs w:val="24"/>
        </w:rPr>
        <w:t>2.1. OBJETIVOS</w:t>
      </w:r>
      <w:r w:rsidR="00513AC2" w:rsidRPr="000A5591">
        <w:rPr>
          <w:rFonts w:ascii="Arial" w:hAnsi="Arial" w:cs="Arial"/>
          <w:sz w:val="24"/>
          <w:szCs w:val="24"/>
        </w:rPr>
        <w:t xml:space="preserve"> ESPECIFICOS</w:t>
      </w:r>
    </w:p>
    <w:p w14:paraId="78DF54A1" w14:textId="55A36AE0" w:rsidR="00903D92" w:rsidRDefault="00513AC2" w:rsidP="00903D92">
      <w:pPr>
        <w:pStyle w:val="Prrafodelista"/>
        <w:numPr>
          <w:ilvl w:val="0"/>
          <w:numId w:val="13"/>
        </w:numPr>
        <w:spacing w:after="0" w:line="360" w:lineRule="auto"/>
        <w:ind w:left="57" w:right="57"/>
        <w:jc w:val="both"/>
        <w:rPr>
          <w:rFonts w:ascii="Arial" w:hAnsi="Arial" w:cs="Arial"/>
          <w:sz w:val="24"/>
          <w:szCs w:val="24"/>
        </w:rPr>
      </w:pPr>
      <w:r w:rsidRPr="000A5591">
        <w:rPr>
          <w:rFonts w:ascii="Arial" w:hAnsi="Arial" w:cs="Arial"/>
          <w:sz w:val="24"/>
          <w:szCs w:val="24"/>
        </w:rPr>
        <w:t xml:space="preserve">PRIORIZACIÓN DE </w:t>
      </w:r>
      <w:r w:rsidR="008A6988" w:rsidRPr="000A5591">
        <w:rPr>
          <w:rFonts w:ascii="Arial" w:hAnsi="Arial" w:cs="Arial"/>
          <w:sz w:val="24"/>
          <w:szCs w:val="24"/>
        </w:rPr>
        <w:t>ACTORES (</w:t>
      </w:r>
      <w:r w:rsidR="00755B3A" w:rsidRPr="000A5591">
        <w:rPr>
          <w:rFonts w:ascii="Arial" w:hAnsi="Arial" w:cs="Arial"/>
          <w:sz w:val="24"/>
          <w:szCs w:val="24"/>
        </w:rPr>
        <w:t>ENTORNO INSTITUCIONAL) VIGENCIA 2025.</w:t>
      </w:r>
    </w:p>
    <w:p w14:paraId="2611E82E" w14:textId="1FB867CD" w:rsidR="00903D92" w:rsidRPr="00903D92" w:rsidRDefault="00755B3A" w:rsidP="00903D92">
      <w:pPr>
        <w:pStyle w:val="Prrafodelista"/>
        <w:numPr>
          <w:ilvl w:val="0"/>
          <w:numId w:val="13"/>
        </w:numPr>
        <w:spacing w:after="0" w:line="360" w:lineRule="auto"/>
        <w:ind w:left="57" w:right="57"/>
        <w:jc w:val="both"/>
        <w:rPr>
          <w:rFonts w:ascii="Arial" w:hAnsi="Arial" w:cs="Arial"/>
          <w:sz w:val="24"/>
          <w:szCs w:val="24"/>
        </w:rPr>
      </w:pPr>
      <w:r>
        <w:rPr>
          <w:rFonts w:ascii="Arial" w:hAnsi="Arial" w:cs="Arial"/>
          <w:sz w:val="24"/>
          <w:szCs w:val="24"/>
        </w:rPr>
        <w:t xml:space="preserve">LISTA DE </w:t>
      </w:r>
      <w:r w:rsidR="0073084B">
        <w:rPr>
          <w:rFonts w:ascii="Arial" w:hAnsi="Arial" w:cs="Arial"/>
          <w:sz w:val="24"/>
          <w:szCs w:val="24"/>
        </w:rPr>
        <w:t>INSTITUCIONES PRIORIZADAS PARA</w:t>
      </w:r>
      <w:r>
        <w:rPr>
          <w:rFonts w:ascii="Arial" w:hAnsi="Arial" w:cs="Arial"/>
          <w:sz w:val="24"/>
          <w:szCs w:val="24"/>
        </w:rPr>
        <w:t xml:space="preserve"> LA VIGENCIA</w:t>
      </w:r>
    </w:p>
    <w:p w14:paraId="01471F73" w14:textId="77777777" w:rsidR="004B269F" w:rsidRDefault="004B269F" w:rsidP="004B269F">
      <w:pPr>
        <w:spacing w:after="0" w:line="360" w:lineRule="auto"/>
        <w:ind w:right="57"/>
        <w:jc w:val="both"/>
        <w:rPr>
          <w:rFonts w:ascii="Arial" w:hAnsi="Arial" w:cs="Arial"/>
          <w:sz w:val="24"/>
          <w:szCs w:val="24"/>
        </w:rPr>
      </w:pPr>
    </w:p>
    <w:p w14:paraId="5DB19891" w14:textId="77777777" w:rsidR="00755B3A" w:rsidRDefault="00755B3A" w:rsidP="004B269F">
      <w:pPr>
        <w:spacing w:after="0" w:line="360" w:lineRule="auto"/>
        <w:ind w:right="57"/>
        <w:jc w:val="both"/>
        <w:rPr>
          <w:rFonts w:ascii="Arial" w:hAnsi="Arial" w:cs="Arial"/>
          <w:sz w:val="24"/>
          <w:szCs w:val="24"/>
        </w:rPr>
      </w:pPr>
    </w:p>
    <w:p w14:paraId="30EE777E" w14:textId="77777777" w:rsidR="00755B3A" w:rsidRDefault="00755B3A" w:rsidP="004B269F">
      <w:pPr>
        <w:spacing w:after="0" w:line="360" w:lineRule="auto"/>
        <w:ind w:right="57"/>
        <w:jc w:val="both"/>
        <w:rPr>
          <w:rFonts w:ascii="Arial" w:hAnsi="Arial" w:cs="Arial"/>
          <w:sz w:val="24"/>
          <w:szCs w:val="24"/>
        </w:rPr>
      </w:pPr>
    </w:p>
    <w:p w14:paraId="6D4764EC" w14:textId="77777777" w:rsidR="00755B3A" w:rsidRDefault="00755B3A" w:rsidP="004B269F">
      <w:pPr>
        <w:spacing w:after="0" w:line="360" w:lineRule="auto"/>
        <w:ind w:right="57"/>
        <w:jc w:val="both"/>
        <w:rPr>
          <w:rFonts w:ascii="Arial" w:hAnsi="Arial" w:cs="Arial"/>
          <w:sz w:val="24"/>
          <w:szCs w:val="24"/>
        </w:rPr>
      </w:pPr>
    </w:p>
    <w:p w14:paraId="454D0E90" w14:textId="77777777" w:rsidR="00755B3A" w:rsidRDefault="00755B3A" w:rsidP="004B269F">
      <w:pPr>
        <w:spacing w:after="0" w:line="360" w:lineRule="auto"/>
        <w:ind w:right="57"/>
        <w:jc w:val="both"/>
        <w:rPr>
          <w:rFonts w:ascii="Arial" w:hAnsi="Arial" w:cs="Arial"/>
          <w:sz w:val="24"/>
          <w:szCs w:val="24"/>
        </w:rPr>
      </w:pPr>
    </w:p>
    <w:p w14:paraId="4EE75E8F" w14:textId="77777777" w:rsidR="00755B3A" w:rsidRDefault="00755B3A" w:rsidP="004B269F">
      <w:pPr>
        <w:spacing w:after="0" w:line="360" w:lineRule="auto"/>
        <w:ind w:right="57"/>
        <w:jc w:val="both"/>
        <w:rPr>
          <w:rFonts w:ascii="Arial" w:hAnsi="Arial" w:cs="Arial"/>
          <w:sz w:val="24"/>
          <w:szCs w:val="24"/>
        </w:rPr>
      </w:pPr>
    </w:p>
    <w:p w14:paraId="742C050F" w14:textId="77777777" w:rsidR="00755B3A" w:rsidRDefault="00755B3A" w:rsidP="004B269F">
      <w:pPr>
        <w:spacing w:after="0" w:line="360" w:lineRule="auto"/>
        <w:ind w:right="57"/>
        <w:jc w:val="both"/>
        <w:rPr>
          <w:rFonts w:ascii="Arial" w:hAnsi="Arial" w:cs="Arial"/>
          <w:sz w:val="24"/>
          <w:szCs w:val="24"/>
        </w:rPr>
      </w:pPr>
    </w:p>
    <w:p w14:paraId="2378D1EF" w14:textId="77777777" w:rsidR="00755B3A" w:rsidRDefault="00755B3A" w:rsidP="004B269F">
      <w:pPr>
        <w:spacing w:after="0" w:line="360" w:lineRule="auto"/>
        <w:ind w:right="57"/>
        <w:jc w:val="both"/>
        <w:rPr>
          <w:rFonts w:ascii="Arial" w:hAnsi="Arial" w:cs="Arial"/>
          <w:sz w:val="24"/>
          <w:szCs w:val="24"/>
        </w:rPr>
      </w:pPr>
    </w:p>
    <w:p w14:paraId="2B95FBD8" w14:textId="77777777" w:rsidR="00755B3A" w:rsidRDefault="00755B3A" w:rsidP="004B269F">
      <w:pPr>
        <w:spacing w:after="0" w:line="360" w:lineRule="auto"/>
        <w:ind w:right="57"/>
        <w:jc w:val="both"/>
        <w:rPr>
          <w:rFonts w:ascii="Arial" w:hAnsi="Arial" w:cs="Arial"/>
          <w:sz w:val="24"/>
          <w:szCs w:val="24"/>
        </w:rPr>
      </w:pPr>
    </w:p>
    <w:p w14:paraId="65327E0C" w14:textId="77777777" w:rsidR="00755B3A" w:rsidRDefault="00755B3A" w:rsidP="004B269F">
      <w:pPr>
        <w:spacing w:after="0" w:line="360" w:lineRule="auto"/>
        <w:ind w:right="57"/>
        <w:jc w:val="both"/>
        <w:rPr>
          <w:rFonts w:ascii="Arial" w:hAnsi="Arial" w:cs="Arial"/>
          <w:sz w:val="24"/>
          <w:szCs w:val="24"/>
        </w:rPr>
      </w:pPr>
    </w:p>
    <w:p w14:paraId="5C39953B" w14:textId="77777777" w:rsidR="00755B3A" w:rsidRDefault="00755B3A" w:rsidP="004B269F">
      <w:pPr>
        <w:spacing w:after="0" w:line="360" w:lineRule="auto"/>
        <w:ind w:right="57"/>
        <w:jc w:val="both"/>
        <w:rPr>
          <w:rFonts w:ascii="Arial" w:hAnsi="Arial" w:cs="Arial"/>
          <w:sz w:val="24"/>
          <w:szCs w:val="24"/>
        </w:rPr>
      </w:pPr>
    </w:p>
    <w:p w14:paraId="41085E04" w14:textId="77777777" w:rsidR="00755B3A" w:rsidRDefault="00755B3A" w:rsidP="004B269F">
      <w:pPr>
        <w:spacing w:after="0" w:line="360" w:lineRule="auto"/>
        <w:ind w:right="57"/>
        <w:jc w:val="both"/>
        <w:rPr>
          <w:rFonts w:ascii="Arial" w:hAnsi="Arial" w:cs="Arial"/>
          <w:sz w:val="24"/>
          <w:szCs w:val="24"/>
        </w:rPr>
      </w:pPr>
    </w:p>
    <w:p w14:paraId="4D6C1F43" w14:textId="77777777" w:rsidR="00755B3A" w:rsidRDefault="00755B3A" w:rsidP="004B269F">
      <w:pPr>
        <w:spacing w:after="0" w:line="360" w:lineRule="auto"/>
        <w:ind w:right="57"/>
        <w:jc w:val="both"/>
        <w:rPr>
          <w:rFonts w:ascii="Arial" w:hAnsi="Arial" w:cs="Arial"/>
          <w:sz w:val="24"/>
          <w:szCs w:val="24"/>
        </w:rPr>
      </w:pPr>
    </w:p>
    <w:p w14:paraId="16BBD91C" w14:textId="77777777" w:rsidR="00755B3A" w:rsidRDefault="00755B3A" w:rsidP="004B269F">
      <w:pPr>
        <w:spacing w:after="0" w:line="360" w:lineRule="auto"/>
        <w:ind w:right="57"/>
        <w:jc w:val="both"/>
        <w:rPr>
          <w:rFonts w:ascii="Arial" w:hAnsi="Arial" w:cs="Arial"/>
          <w:sz w:val="24"/>
          <w:szCs w:val="24"/>
        </w:rPr>
      </w:pPr>
    </w:p>
    <w:p w14:paraId="629FFC79" w14:textId="77777777" w:rsidR="00755B3A" w:rsidRDefault="00755B3A" w:rsidP="004B269F">
      <w:pPr>
        <w:spacing w:after="0" w:line="360" w:lineRule="auto"/>
        <w:ind w:right="57"/>
        <w:jc w:val="both"/>
        <w:rPr>
          <w:rFonts w:ascii="Arial" w:hAnsi="Arial" w:cs="Arial"/>
          <w:sz w:val="24"/>
          <w:szCs w:val="24"/>
        </w:rPr>
      </w:pPr>
    </w:p>
    <w:p w14:paraId="0E4DD143" w14:textId="77777777" w:rsidR="00755B3A" w:rsidRDefault="00755B3A" w:rsidP="004B269F">
      <w:pPr>
        <w:spacing w:after="0" w:line="360" w:lineRule="auto"/>
        <w:ind w:right="57"/>
        <w:jc w:val="both"/>
        <w:rPr>
          <w:rFonts w:ascii="Arial" w:hAnsi="Arial" w:cs="Arial"/>
          <w:sz w:val="24"/>
          <w:szCs w:val="24"/>
        </w:rPr>
      </w:pPr>
    </w:p>
    <w:p w14:paraId="6FF9E48F" w14:textId="77777777" w:rsidR="00755B3A" w:rsidRDefault="00755B3A" w:rsidP="004B269F">
      <w:pPr>
        <w:spacing w:after="0" w:line="360" w:lineRule="auto"/>
        <w:ind w:right="57"/>
        <w:jc w:val="both"/>
        <w:rPr>
          <w:rFonts w:ascii="Arial" w:hAnsi="Arial" w:cs="Arial"/>
          <w:sz w:val="24"/>
          <w:szCs w:val="24"/>
        </w:rPr>
      </w:pPr>
    </w:p>
    <w:p w14:paraId="5DA4269D" w14:textId="1795150E" w:rsidR="00B549E6" w:rsidRDefault="00B549E6" w:rsidP="004E0A98">
      <w:pPr>
        <w:pStyle w:val="Prrafodelista"/>
        <w:numPr>
          <w:ilvl w:val="0"/>
          <w:numId w:val="10"/>
        </w:numPr>
        <w:spacing w:after="0" w:line="360" w:lineRule="auto"/>
        <w:ind w:left="57" w:right="57"/>
        <w:jc w:val="both"/>
        <w:rPr>
          <w:rFonts w:ascii="Arial" w:hAnsi="Arial" w:cs="Arial"/>
          <w:b/>
          <w:bCs/>
          <w:sz w:val="24"/>
          <w:szCs w:val="24"/>
        </w:rPr>
      </w:pPr>
      <w:r w:rsidRPr="000A5591">
        <w:rPr>
          <w:rFonts w:ascii="Arial" w:hAnsi="Arial" w:cs="Arial"/>
          <w:b/>
          <w:bCs/>
          <w:sz w:val="24"/>
          <w:szCs w:val="24"/>
        </w:rPr>
        <w:t xml:space="preserve">JUSTIFICACIÓN: </w:t>
      </w:r>
    </w:p>
    <w:p w14:paraId="7E72E1CA" w14:textId="77777777" w:rsidR="004E1A5D" w:rsidRDefault="004E1A5D" w:rsidP="00785F53">
      <w:pPr>
        <w:spacing w:after="0" w:line="360" w:lineRule="auto"/>
        <w:ind w:right="57"/>
        <w:jc w:val="both"/>
        <w:rPr>
          <w:rFonts w:ascii="Arial" w:hAnsi="Arial" w:cs="Arial"/>
          <w:b/>
          <w:bCs/>
          <w:sz w:val="24"/>
          <w:szCs w:val="24"/>
        </w:rPr>
      </w:pPr>
    </w:p>
    <w:p w14:paraId="542CBD98" w14:textId="03811F6F" w:rsidR="00F54877" w:rsidRDefault="00AA3F5A" w:rsidP="00785F53">
      <w:pPr>
        <w:spacing w:after="0" w:line="360" w:lineRule="auto"/>
        <w:ind w:right="57"/>
        <w:jc w:val="both"/>
        <w:rPr>
          <w:rFonts w:ascii="Arial" w:hAnsi="Arial" w:cs="Arial"/>
          <w:sz w:val="24"/>
          <w:szCs w:val="24"/>
        </w:rPr>
      </w:pPr>
      <w:r w:rsidRPr="00AA3F5A">
        <w:rPr>
          <w:rFonts w:ascii="Arial" w:hAnsi="Arial" w:cs="Arial"/>
          <w:sz w:val="24"/>
          <w:szCs w:val="24"/>
        </w:rPr>
        <w:t xml:space="preserve">En razón de materializar la atención integral en salud; a través del cumplimento de “Acciones coordinadas, complementarias y efectivas para garantizar el derecho a la salud, lo que se expresa en políticas, planes, programas, proyectos, estrategias y servicios, que se </w:t>
      </w:r>
      <w:r w:rsidRPr="00C62145">
        <w:rPr>
          <w:rFonts w:ascii="Arial" w:hAnsi="Arial" w:cs="Arial"/>
          <w:color w:val="FF0000"/>
          <w:sz w:val="24"/>
          <w:szCs w:val="24"/>
        </w:rPr>
        <w:t>materializan</w:t>
      </w:r>
      <w:r w:rsidR="00C62145">
        <w:rPr>
          <w:rFonts w:ascii="Arial" w:hAnsi="Arial" w:cs="Arial"/>
          <w:color w:val="FF0000"/>
          <w:sz w:val="24"/>
          <w:szCs w:val="24"/>
        </w:rPr>
        <w:t xml:space="preserve"> (traducen)</w:t>
      </w:r>
      <w:r w:rsidRPr="00C62145">
        <w:rPr>
          <w:rFonts w:ascii="Arial" w:hAnsi="Arial" w:cs="Arial"/>
          <w:color w:val="FF0000"/>
          <w:sz w:val="24"/>
          <w:szCs w:val="24"/>
        </w:rPr>
        <w:t xml:space="preserve"> </w:t>
      </w:r>
      <w:r w:rsidRPr="00AA3F5A">
        <w:rPr>
          <w:rFonts w:ascii="Arial" w:hAnsi="Arial" w:cs="Arial"/>
          <w:sz w:val="24"/>
          <w:szCs w:val="24"/>
        </w:rPr>
        <w:t>en atenciones dirigidas a las personas, familias y comunidades para la promoción de la salud, prevención de la enfermedad, diagnóstico, tratamiento, rehabilitación y cuidados paliativos” (Res. 3202/16); en el marco de las competencias como Ente Rector de la salud para el Distrito de Santiago de Cali; la secretaría de salud le compete entre sus funciones brindar procesos de asistencia técnica</w:t>
      </w:r>
      <w:r>
        <w:rPr>
          <w:rFonts w:ascii="Arial" w:hAnsi="Arial" w:cs="Arial"/>
          <w:sz w:val="24"/>
          <w:szCs w:val="24"/>
        </w:rPr>
        <w:t xml:space="preserve"> (Asesoría, acompañamiento, capacitación)</w:t>
      </w:r>
      <w:r w:rsidRPr="00AA3F5A">
        <w:rPr>
          <w:rFonts w:ascii="Arial" w:hAnsi="Arial" w:cs="Arial"/>
          <w:sz w:val="24"/>
          <w:szCs w:val="24"/>
        </w:rPr>
        <w:t xml:space="preserve"> para el desarrollo de capacidades en las personas, las organizaciones y la comunida</w:t>
      </w:r>
      <w:r>
        <w:rPr>
          <w:rFonts w:ascii="Arial" w:hAnsi="Arial" w:cs="Arial"/>
          <w:sz w:val="24"/>
          <w:szCs w:val="24"/>
        </w:rPr>
        <w:t xml:space="preserve">d. </w:t>
      </w:r>
    </w:p>
    <w:p w14:paraId="4F85F693" w14:textId="77777777" w:rsidR="008E1979" w:rsidRDefault="008E1979" w:rsidP="00785F53">
      <w:pPr>
        <w:spacing w:after="0" w:line="360" w:lineRule="auto"/>
        <w:ind w:right="57"/>
        <w:jc w:val="both"/>
        <w:rPr>
          <w:rFonts w:ascii="Arial" w:hAnsi="Arial" w:cs="Arial"/>
          <w:sz w:val="24"/>
          <w:szCs w:val="24"/>
        </w:rPr>
      </w:pPr>
    </w:p>
    <w:p w14:paraId="6C8B30F9" w14:textId="1CBE99A1" w:rsidR="00785F53" w:rsidRDefault="00AA3F5A" w:rsidP="00785F53">
      <w:pPr>
        <w:spacing w:after="0" w:line="360" w:lineRule="auto"/>
        <w:ind w:right="57"/>
        <w:jc w:val="both"/>
        <w:rPr>
          <w:rFonts w:ascii="Arial" w:hAnsi="Arial" w:cs="Arial"/>
          <w:sz w:val="24"/>
          <w:szCs w:val="24"/>
        </w:rPr>
      </w:pPr>
      <w:r>
        <w:rPr>
          <w:rFonts w:ascii="Arial" w:hAnsi="Arial" w:cs="Arial"/>
          <w:sz w:val="24"/>
          <w:szCs w:val="24"/>
        </w:rPr>
        <w:t>Por ello,</w:t>
      </w:r>
      <w:r w:rsidR="00123524">
        <w:rPr>
          <w:rFonts w:ascii="Arial" w:hAnsi="Arial" w:cs="Arial"/>
          <w:sz w:val="24"/>
          <w:szCs w:val="24"/>
        </w:rPr>
        <w:t xml:space="preserve"> en el proceso de </w:t>
      </w:r>
      <w:r w:rsidR="0026506A">
        <w:rPr>
          <w:rFonts w:ascii="Arial" w:hAnsi="Arial" w:cs="Arial"/>
          <w:sz w:val="24"/>
          <w:szCs w:val="24"/>
        </w:rPr>
        <w:t xml:space="preserve">precisar </w:t>
      </w:r>
      <w:r w:rsidR="00123524">
        <w:rPr>
          <w:rFonts w:ascii="Arial" w:hAnsi="Arial" w:cs="Arial"/>
          <w:sz w:val="24"/>
          <w:szCs w:val="24"/>
        </w:rPr>
        <w:t>los d</w:t>
      </w:r>
      <w:r w:rsidR="005E5922">
        <w:rPr>
          <w:rFonts w:ascii="Arial" w:hAnsi="Arial" w:cs="Arial"/>
          <w:sz w:val="24"/>
          <w:szCs w:val="24"/>
        </w:rPr>
        <w:t>i</w:t>
      </w:r>
      <w:r w:rsidR="00123524">
        <w:rPr>
          <w:rFonts w:ascii="Arial" w:hAnsi="Arial" w:cs="Arial"/>
          <w:sz w:val="24"/>
          <w:szCs w:val="24"/>
        </w:rPr>
        <w:t>ferentes actores</w:t>
      </w:r>
      <w:r w:rsidR="00F54877">
        <w:rPr>
          <w:rFonts w:ascii="Arial" w:hAnsi="Arial" w:cs="Arial"/>
          <w:sz w:val="24"/>
          <w:szCs w:val="24"/>
        </w:rPr>
        <w:t xml:space="preserve"> a intervenir</w:t>
      </w:r>
      <w:r w:rsidR="00123524">
        <w:rPr>
          <w:rFonts w:ascii="Arial" w:hAnsi="Arial" w:cs="Arial"/>
          <w:sz w:val="24"/>
          <w:szCs w:val="24"/>
        </w:rPr>
        <w:t xml:space="preserve"> es fundamental </w:t>
      </w:r>
      <w:r w:rsidR="002477D2">
        <w:rPr>
          <w:rFonts w:ascii="Arial" w:hAnsi="Arial" w:cs="Arial"/>
          <w:sz w:val="24"/>
          <w:szCs w:val="24"/>
        </w:rPr>
        <w:t>definir</w:t>
      </w:r>
      <w:r w:rsidR="004E1A5D">
        <w:rPr>
          <w:rFonts w:ascii="Arial" w:hAnsi="Arial" w:cs="Arial"/>
          <w:sz w:val="24"/>
          <w:szCs w:val="24"/>
        </w:rPr>
        <w:t xml:space="preserve"> los</w:t>
      </w:r>
      <w:r w:rsidR="002477D2">
        <w:rPr>
          <w:rFonts w:ascii="Arial" w:hAnsi="Arial" w:cs="Arial"/>
          <w:sz w:val="24"/>
          <w:szCs w:val="24"/>
        </w:rPr>
        <w:t xml:space="preserve"> </w:t>
      </w:r>
      <w:r w:rsidR="00F54877">
        <w:rPr>
          <w:rFonts w:ascii="Arial" w:hAnsi="Arial" w:cs="Arial"/>
          <w:sz w:val="24"/>
          <w:szCs w:val="24"/>
        </w:rPr>
        <w:t>criterios</w:t>
      </w:r>
      <w:r w:rsidR="0026506A">
        <w:rPr>
          <w:rFonts w:ascii="Arial" w:hAnsi="Arial" w:cs="Arial"/>
          <w:sz w:val="24"/>
          <w:szCs w:val="24"/>
        </w:rPr>
        <w:t xml:space="preserve"> de priorización;</w:t>
      </w:r>
      <w:r w:rsidR="008F375C">
        <w:rPr>
          <w:rFonts w:ascii="Arial" w:hAnsi="Arial" w:cs="Arial"/>
          <w:sz w:val="24"/>
          <w:szCs w:val="24"/>
        </w:rPr>
        <w:t xml:space="preserve"> </w:t>
      </w:r>
      <w:r w:rsidR="002477D2">
        <w:rPr>
          <w:rFonts w:ascii="Arial" w:hAnsi="Arial" w:cs="Arial"/>
          <w:sz w:val="24"/>
          <w:szCs w:val="24"/>
        </w:rPr>
        <w:t xml:space="preserve">teniendo en cuenta </w:t>
      </w:r>
      <w:r w:rsidRPr="00123524">
        <w:rPr>
          <w:rFonts w:ascii="Arial" w:hAnsi="Arial" w:cs="Arial"/>
          <w:sz w:val="24"/>
          <w:szCs w:val="24"/>
        </w:rPr>
        <w:t>las necesidades y capacidades técnicas a desarrollar o fortalecer</w:t>
      </w:r>
      <w:r w:rsidR="00354F14">
        <w:rPr>
          <w:rFonts w:ascii="Arial" w:hAnsi="Arial" w:cs="Arial"/>
          <w:sz w:val="24"/>
          <w:szCs w:val="24"/>
        </w:rPr>
        <w:t xml:space="preserve"> </w:t>
      </w:r>
      <w:r w:rsidRPr="00123524">
        <w:rPr>
          <w:rFonts w:ascii="Arial" w:hAnsi="Arial" w:cs="Arial"/>
          <w:sz w:val="24"/>
          <w:szCs w:val="24"/>
        </w:rPr>
        <w:t>en y con los actores y/o beneficiarios de competencia distrital</w:t>
      </w:r>
      <w:r w:rsidR="005E5922">
        <w:rPr>
          <w:rFonts w:ascii="Arial" w:hAnsi="Arial" w:cs="Arial"/>
          <w:sz w:val="24"/>
          <w:szCs w:val="24"/>
        </w:rPr>
        <w:t>;</w:t>
      </w:r>
      <w:r w:rsidR="008F375C">
        <w:rPr>
          <w:rFonts w:ascii="Arial" w:hAnsi="Arial" w:cs="Arial"/>
          <w:sz w:val="24"/>
          <w:szCs w:val="24"/>
        </w:rPr>
        <w:t xml:space="preserve"> para lo cual es propicio </w:t>
      </w:r>
      <w:r w:rsidRPr="00123524">
        <w:rPr>
          <w:rFonts w:ascii="Arial" w:hAnsi="Arial" w:cs="Arial"/>
          <w:sz w:val="24"/>
          <w:szCs w:val="24"/>
        </w:rPr>
        <w:t>revis</w:t>
      </w:r>
      <w:r w:rsidR="005E5922">
        <w:rPr>
          <w:rFonts w:ascii="Arial" w:hAnsi="Arial" w:cs="Arial"/>
          <w:sz w:val="24"/>
          <w:szCs w:val="24"/>
        </w:rPr>
        <w:t>a</w:t>
      </w:r>
      <w:r w:rsidR="008F375C">
        <w:rPr>
          <w:rFonts w:ascii="Arial" w:hAnsi="Arial" w:cs="Arial"/>
          <w:sz w:val="24"/>
          <w:szCs w:val="24"/>
        </w:rPr>
        <w:t>r</w:t>
      </w:r>
      <w:r w:rsidR="005E5922">
        <w:rPr>
          <w:rFonts w:ascii="Arial" w:hAnsi="Arial" w:cs="Arial"/>
          <w:sz w:val="24"/>
          <w:szCs w:val="24"/>
        </w:rPr>
        <w:t xml:space="preserve"> i</w:t>
      </w:r>
      <w:r w:rsidRPr="00123524">
        <w:rPr>
          <w:rFonts w:ascii="Arial" w:hAnsi="Arial" w:cs="Arial"/>
          <w:sz w:val="24"/>
          <w:szCs w:val="24"/>
        </w:rPr>
        <w:t>nformes de auditorías, ASIS, lineamientos, guías, protocolos, proyectos, caracterizaciones poblacionales, informes de unidades de análisis, PQR</w:t>
      </w:r>
      <w:r w:rsidR="00CC229B">
        <w:rPr>
          <w:rFonts w:ascii="Arial" w:hAnsi="Arial" w:cs="Arial"/>
          <w:sz w:val="24"/>
          <w:szCs w:val="24"/>
        </w:rPr>
        <w:t>S</w:t>
      </w:r>
      <w:r w:rsidRPr="00123524">
        <w:rPr>
          <w:rFonts w:ascii="Arial" w:hAnsi="Arial" w:cs="Arial"/>
          <w:sz w:val="24"/>
          <w:szCs w:val="24"/>
        </w:rPr>
        <w:t>, Decretos Reglamentarios, Actos Administrativos, Directivas, documentos de política pública y Documentos CONPES, relacionados con personas en vulnerabilidad, familias y colectivos, entre otros)</w:t>
      </w:r>
      <w:r w:rsidR="00CC229B">
        <w:rPr>
          <w:rFonts w:ascii="Arial" w:hAnsi="Arial" w:cs="Arial"/>
          <w:sz w:val="24"/>
          <w:szCs w:val="24"/>
        </w:rPr>
        <w:t>; lo que permite la toma de decisiones basadas en la evidencia p</w:t>
      </w:r>
      <w:r w:rsidR="008F375C">
        <w:rPr>
          <w:rFonts w:ascii="Arial" w:hAnsi="Arial" w:cs="Arial"/>
          <w:sz w:val="24"/>
          <w:szCs w:val="24"/>
        </w:rPr>
        <w:t>ara</w:t>
      </w:r>
      <w:r w:rsidR="0053041A">
        <w:rPr>
          <w:rFonts w:ascii="Arial" w:hAnsi="Arial" w:cs="Arial"/>
          <w:sz w:val="24"/>
          <w:szCs w:val="24"/>
        </w:rPr>
        <w:t xml:space="preserve"> el</w:t>
      </w:r>
      <w:r w:rsidR="00E55DA8">
        <w:rPr>
          <w:rFonts w:ascii="Arial" w:hAnsi="Arial" w:cs="Arial"/>
          <w:sz w:val="24"/>
          <w:szCs w:val="24"/>
        </w:rPr>
        <w:t xml:space="preserve"> cumplimiento metodológic</w:t>
      </w:r>
      <w:r w:rsidR="00CC229B">
        <w:rPr>
          <w:rFonts w:ascii="Arial" w:hAnsi="Arial" w:cs="Arial"/>
          <w:sz w:val="24"/>
          <w:szCs w:val="24"/>
        </w:rPr>
        <w:t>o</w:t>
      </w:r>
      <w:r w:rsidR="00E55DA8">
        <w:rPr>
          <w:rFonts w:ascii="Arial" w:hAnsi="Arial" w:cs="Arial"/>
          <w:sz w:val="24"/>
          <w:szCs w:val="24"/>
        </w:rPr>
        <w:t xml:space="preserve"> </w:t>
      </w:r>
      <w:r w:rsidR="008F375C">
        <w:rPr>
          <w:rFonts w:ascii="Arial" w:hAnsi="Arial" w:cs="Arial"/>
          <w:sz w:val="24"/>
          <w:szCs w:val="24"/>
        </w:rPr>
        <w:t xml:space="preserve">en el procedimiento de </w:t>
      </w:r>
      <w:r w:rsidR="00227945">
        <w:rPr>
          <w:rFonts w:ascii="Arial" w:hAnsi="Arial" w:cs="Arial"/>
          <w:sz w:val="24"/>
          <w:szCs w:val="24"/>
        </w:rPr>
        <w:t xml:space="preserve">cada una de las fases (Planeación, articulación, implementación, monitoreo y evaluación) del Plan de </w:t>
      </w:r>
      <w:r w:rsidR="00E55DA8">
        <w:rPr>
          <w:rFonts w:ascii="Arial" w:hAnsi="Arial" w:cs="Arial"/>
          <w:sz w:val="24"/>
          <w:szCs w:val="24"/>
        </w:rPr>
        <w:t>desarrollo de capacidades en salud pública</w:t>
      </w:r>
      <w:r w:rsidR="00227945">
        <w:rPr>
          <w:rFonts w:ascii="Arial" w:hAnsi="Arial" w:cs="Arial"/>
          <w:sz w:val="24"/>
          <w:szCs w:val="24"/>
        </w:rPr>
        <w:t xml:space="preserve"> </w:t>
      </w:r>
      <w:r w:rsidR="00EC6161">
        <w:rPr>
          <w:rFonts w:ascii="Arial" w:hAnsi="Arial" w:cs="Arial"/>
          <w:sz w:val="24"/>
          <w:szCs w:val="24"/>
        </w:rPr>
        <w:t>para</w:t>
      </w:r>
      <w:r w:rsidR="00227945">
        <w:rPr>
          <w:rFonts w:ascii="Arial" w:hAnsi="Arial" w:cs="Arial"/>
          <w:sz w:val="24"/>
          <w:szCs w:val="24"/>
        </w:rPr>
        <w:t xml:space="preserve"> la vigencia</w:t>
      </w:r>
      <w:r w:rsidR="008F375C">
        <w:rPr>
          <w:rFonts w:ascii="Arial" w:hAnsi="Arial" w:cs="Arial"/>
          <w:sz w:val="24"/>
          <w:szCs w:val="24"/>
        </w:rPr>
        <w:t xml:space="preserve"> 2025.</w:t>
      </w:r>
      <w:r w:rsidR="00227945">
        <w:rPr>
          <w:rFonts w:ascii="Arial" w:hAnsi="Arial" w:cs="Arial"/>
          <w:sz w:val="24"/>
          <w:szCs w:val="24"/>
        </w:rPr>
        <w:t xml:space="preserve"> </w:t>
      </w:r>
    </w:p>
    <w:p w14:paraId="61CB3DBD" w14:textId="77777777" w:rsidR="00E55DA8" w:rsidRPr="00785F53" w:rsidRDefault="00E55DA8" w:rsidP="00785F53">
      <w:pPr>
        <w:spacing w:after="0" w:line="360" w:lineRule="auto"/>
        <w:ind w:right="57"/>
        <w:jc w:val="both"/>
        <w:rPr>
          <w:rFonts w:ascii="Arial" w:hAnsi="Arial" w:cs="Arial"/>
          <w:b/>
          <w:bCs/>
          <w:sz w:val="24"/>
          <w:szCs w:val="24"/>
        </w:rPr>
      </w:pPr>
    </w:p>
    <w:p w14:paraId="3A51AFE8" w14:textId="21981B01" w:rsidR="00A35BFC" w:rsidRPr="0086751A" w:rsidRDefault="00B549E6" w:rsidP="0086751A">
      <w:pPr>
        <w:pStyle w:val="Prrafodelista"/>
        <w:numPr>
          <w:ilvl w:val="0"/>
          <w:numId w:val="10"/>
        </w:numPr>
        <w:spacing w:after="0" w:line="360" w:lineRule="auto"/>
        <w:ind w:left="57" w:right="57"/>
        <w:jc w:val="both"/>
        <w:rPr>
          <w:rFonts w:ascii="Arial" w:hAnsi="Arial" w:cs="Arial"/>
          <w:b/>
          <w:bCs/>
          <w:sz w:val="24"/>
          <w:szCs w:val="24"/>
        </w:rPr>
      </w:pPr>
      <w:r w:rsidRPr="00A35BFC">
        <w:rPr>
          <w:rFonts w:ascii="Arial" w:hAnsi="Arial" w:cs="Arial"/>
          <w:b/>
          <w:bCs/>
          <w:sz w:val="24"/>
          <w:szCs w:val="24"/>
        </w:rPr>
        <w:t xml:space="preserve">OBJETIVO GENERAL: </w:t>
      </w:r>
      <w:r w:rsidR="00A35BFC" w:rsidRPr="0086751A">
        <w:rPr>
          <w:rFonts w:ascii="Arial" w:hAnsi="Arial" w:cs="Arial"/>
          <w:sz w:val="24"/>
          <w:szCs w:val="24"/>
        </w:rPr>
        <w:t xml:space="preserve">Realizar un análisis basado en evidencia para priorizar a los actores a intervenir en el </w:t>
      </w:r>
      <w:r w:rsidR="005D2B92" w:rsidRPr="0086751A">
        <w:rPr>
          <w:rFonts w:ascii="Arial" w:hAnsi="Arial" w:cs="Arial"/>
          <w:sz w:val="24"/>
          <w:szCs w:val="24"/>
        </w:rPr>
        <w:t>p</w:t>
      </w:r>
      <w:r w:rsidR="00A35BFC" w:rsidRPr="0086751A">
        <w:rPr>
          <w:rFonts w:ascii="Arial" w:hAnsi="Arial" w:cs="Arial"/>
          <w:sz w:val="24"/>
          <w:szCs w:val="24"/>
        </w:rPr>
        <w:t xml:space="preserve">lan </w:t>
      </w:r>
      <w:r w:rsidR="005D2B92" w:rsidRPr="0086751A">
        <w:rPr>
          <w:rFonts w:ascii="Arial" w:hAnsi="Arial" w:cs="Arial"/>
          <w:sz w:val="24"/>
          <w:szCs w:val="24"/>
        </w:rPr>
        <w:t>a</w:t>
      </w:r>
      <w:r w:rsidR="00A35BFC" w:rsidRPr="0086751A">
        <w:rPr>
          <w:rFonts w:ascii="Arial" w:hAnsi="Arial" w:cs="Arial"/>
          <w:sz w:val="24"/>
          <w:szCs w:val="24"/>
        </w:rPr>
        <w:t>nual de desarrollo de capacidades del entorno institucional, correspondiente a la vigencia 2025, del grupo de Salud Pública.</w:t>
      </w:r>
    </w:p>
    <w:p w14:paraId="41AA396D" w14:textId="5ECD921A" w:rsidR="0070390C" w:rsidRPr="00A35BFC" w:rsidRDefault="0070390C" w:rsidP="005D2B92">
      <w:pPr>
        <w:pStyle w:val="Prrafodelista"/>
        <w:spacing w:after="0" w:line="360" w:lineRule="auto"/>
        <w:ind w:left="57" w:right="57"/>
        <w:jc w:val="both"/>
        <w:rPr>
          <w:rFonts w:ascii="Arial" w:hAnsi="Arial" w:cs="Arial"/>
          <w:sz w:val="24"/>
          <w:szCs w:val="24"/>
        </w:rPr>
      </w:pPr>
    </w:p>
    <w:p w14:paraId="68C9A17C" w14:textId="08390892" w:rsidR="005D2B92" w:rsidRPr="0086751A" w:rsidRDefault="00B549E6" w:rsidP="005D2B92">
      <w:pPr>
        <w:pStyle w:val="Prrafodelista"/>
        <w:numPr>
          <w:ilvl w:val="0"/>
          <w:numId w:val="10"/>
        </w:numPr>
        <w:spacing w:after="0" w:line="360" w:lineRule="auto"/>
        <w:ind w:left="57" w:right="57"/>
        <w:jc w:val="both"/>
        <w:rPr>
          <w:rFonts w:ascii="Arial" w:hAnsi="Arial" w:cs="Arial"/>
          <w:b/>
          <w:bCs/>
          <w:sz w:val="24"/>
          <w:szCs w:val="24"/>
        </w:rPr>
      </w:pPr>
      <w:r w:rsidRPr="005D2B92">
        <w:rPr>
          <w:rFonts w:ascii="Arial" w:hAnsi="Arial" w:cs="Arial"/>
          <w:b/>
          <w:bCs/>
          <w:color w:val="000000" w:themeColor="text1"/>
          <w:sz w:val="24"/>
          <w:szCs w:val="24"/>
        </w:rPr>
        <w:t>OBJ</w:t>
      </w:r>
      <w:r w:rsidRPr="000A5591">
        <w:rPr>
          <w:rFonts w:ascii="Arial" w:hAnsi="Arial" w:cs="Arial"/>
          <w:b/>
          <w:bCs/>
          <w:sz w:val="24"/>
          <w:szCs w:val="24"/>
        </w:rPr>
        <w:t>ETIVO ESPECIFICO:</w:t>
      </w:r>
      <w:r w:rsidR="00811A49" w:rsidRPr="000A5591">
        <w:rPr>
          <w:rFonts w:ascii="Arial" w:hAnsi="Arial" w:cs="Arial"/>
          <w:b/>
          <w:bCs/>
          <w:sz w:val="24"/>
          <w:szCs w:val="24"/>
        </w:rPr>
        <w:t xml:space="preserve"> </w:t>
      </w:r>
      <w:r w:rsidR="00A35BFC" w:rsidRPr="0086751A">
        <w:rPr>
          <w:rFonts w:ascii="Arial" w:hAnsi="Arial" w:cs="Arial"/>
          <w:sz w:val="24"/>
          <w:szCs w:val="24"/>
        </w:rPr>
        <w:t xml:space="preserve">Establecer criterios </w:t>
      </w:r>
      <w:r w:rsidR="005D2B92" w:rsidRPr="0086751A">
        <w:rPr>
          <w:rFonts w:ascii="Arial" w:hAnsi="Arial" w:cs="Arial"/>
          <w:sz w:val="24"/>
          <w:szCs w:val="24"/>
        </w:rPr>
        <w:t xml:space="preserve">para </w:t>
      </w:r>
      <w:proofErr w:type="gramStart"/>
      <w:r w:rsidR="005D2B92" w:rsidRPr="0086751A">
        <w:rPr>
          <w:rFonts w:ascii="Arial" w:hAnsi="Arial" w:cs="Arial"/>
          <w:sz w:val="24"/>
          <w:szCs w:val="24"/>
        </w:rPr>
        <w:t xml:space="preserve">la </w:t>
      </w:r>
      <w:r w:rsidR="00A35BFC" w:rsidRPr="0086751A">
        <w:rPr>
          <w:rFonts w:ascii="Arial" w:hAnsi="Arial" w:cs="Arial"/>
          <w:sz w:val="24"/>
          <w:szCs w:val="24"/>
        </w:rPr>
        <w:t xml:space="preserve"> priorización</w:t>
      </w:r>
      <w:proofErr w:type="gramEnd"/>
      <w:r w:rsidR="005D2B92" w:rsidRPr="0086751A">
        <w:rPr>
          <w:rFonts w:ascii="Arial" w:hAnsi="Arial" w:cs="Arial"/>
          <w:sz w:val="24"/>
          <w:szCs w:val="24"/>
        </w:rPr>
        <w:t xml:space="preserve"> de los actores para la elaboración del plan anual de desarrollo de capacidades del entorno institucional vigencia 2025 del grupo de Salud Pública.</w:t>
      </w:r>
    </w:p>
    <w:p w14:paraId="39F69F38" w14:textId="70E0527E" w:rsidR="009B277D" w:rsidRPr="00A35BFC" w:rsidRDefault="009B277D" w:rsidP="005D2B92">
      <w:pPr>
        <w:pStyle w:val="Prrafodelista"/>
        <w:spacing w:after="0" w:line="360" w:lineRule="auto"/>
        <w:ind w:left="57" w:right="57"/>
        <w:jc w:val="both"/>
        <w:rPr>
          <w:rFonts w:ascii="Arial" w:hAnsi="Arial" w:cs="Arial"/>
          <w:color w:val="FF0000"/>
          <w:sz w:val="24"/>
          <w:szCs w:val="24"/>
        </w:rPr>
      </w:pPr>
    </w:p>
    <w:p w14:paraId="75D59E56" w14:textId="774DFCD9" w:rsidR="00E00C6D" w:rsidRDefault="001B2821" w:rsidP="005D2B92">
      <w:pPr>
        <w:pStyle w:val="Prrafodelista"/>
        <w:numPr>
          <w:ilvl w:val="0"/>
          <w:numId w:val="10"/>
        </w:numPr>
        <w:spacing w:after="0" w:line="360" w:lineRule="auto"/>
        <w:ind w:left="57" w:right="57"/>
        <w:jc w:val="both"/>
        <w:rPr>
          <w:rFonts w:ascii="Arial" w:hAnsi="Arial" w:cs="Arial"/>
          <w:b/>
          <w:bCs/>
          <w:sz w:val="24"/>
          <w:szCs w:val="24"/>
        </w:rPr>
      </w:pPr>
      <w:r w:rsidRPr="004B269F">
        <w:rPr>
          <w:rFonts w:ascii="Arial" w:hAnsi="Arial" w:cs="Arial"/>
          <w:b/>
          <w:bCs/>
          <w:sz w:val="24"/>
          <w:szCs w:val="24"/>
        </w:rPr>
        <w:t xml:space="preserve">PRIORIZACIÓN DE </w:t>
      </w:r>
      <w:r w:rsidR="00B05A31" w:rsidRPr="004B269F">
        <w:rPr>
          <w:rFonts w:ascii="Arial" w:hAnsi="Arial" w:cs="Arial"/>
          <w:b/>
          <w:bCs/>
          <w:sz w:val="24"/>
          <w:szCs w:val="24"/>
        </w:rPr>
        <w:t>ACTORES (</w:t>
      </w:r>
      <w:r w:rsidRPr="004B269F">
        <w:rPr>
          <w:rFonts w:ascii="Arial" w:hAnsi="Arial" w:cs="Arial"/>
          <w:b/>
          <w:bCs/>
          <w:sz w:val="24"/>
          <w:szCs w:val="24"/>
        </w:rPr>
        <w:t>ENTORNO INSTITUCIONAL) VIGENCIA 2025:</w:t>
      </w:r>
    </w:p>
    <w:p w14:paraId="05EA147C" w14:textId="77777777" w:rsidR="005D2B92" w:rsidRPr="005C57BF" w:rsidRDefault="005D2B92" w:rsidP="005D2B92">
      <w:pPr>
        <w:pStyle w:val="Prrafodelista"/>
        <w:numPr>
          <w:ilvl w:val="0"/>
          <w:numId w:val="10"/>
        </w:numPr>
        <w:spacing w:after="0" w:line="360" w:lineRule="auto"/>
        <w:ind w:left="57" w:right="57"/>
        <w:jc w:val="both"/>
        <w:rPr>
          <w:rFonts w:ascii="Arial" w:hAnsi="Arial" w:cs="Arial"/>
          <w:b/>
          <w:bCs/>
          <w:sz w:val="24"/>
          <w:szCs w:val="24"/>
        </w:rPr>
      </w:pPr>
      <w:bookmarkStart w:id="0" w:name="_GoBack"/>
    </w:p>
    <w:p w14:paraId="1F2851FD" w14:textId="72A53081" w:rsidR="00E00C6D" w:rsidRPr="005C57BF" w:rsidRDefault="00E00C6D" w:rsidP="00E00C6D">
      <w:pPr>
        <w:spacing w:after="0" w:line="360" w:lineRule="auto"/>
        <w:ind w:right="57"/>
        <w:jc w:val="both"/>
        <w:rPr>
          <w:rFonts w:ascii="Arial" w:hAnsi="Arial" w:cs="Arial"/>
          <w:sz w:val="24"/>
          <w:szCs w:val="24"/>
        </w:rPr>
      </w:pPr>
      <w:r w:rsidRPr="005C57BF">
        <w:rPr>
          <w:rFonts w:ascii="Arial" w:hAnsi="Arial" w:cs="Arial"/>
          <w:b/>
          <w:bCs/>
          <w:sz w:val="24"/>
          <w:szCs w:val="24"/>
        </w:rPr>
        <w:t>Metodología de la intervención:</w:t>
      </w:r>
      <w:r w:rsidR="00C40000" w:rsidRPr="005C57BF">
        <w:rPr>
          <w:rFonts w:ascii="Arial" w:hAnsi="Arial" w:cs="Arial"/>
          <w:sz w:val="24"/>
          <w:szCs w:val="24"/>
        </w:rPr>
        <w:t xml:space="preserve"> </w:t>
      </w:r>
      <w:r w:rsidR="00A55873" w:rsidRPr="005C57BF">
        <w:rPr>
          <w:rFonts w:ascii="Arial" w:hAnsi="Arial" w:cs="Arial"/>
          <w:sz w:val="24"/>
          <w:szCs w:val="24"/>
        </w:rPr>
        <w:t xml:space="preserve">Se realiza mediante la asistencia técnica en sus tres niveles (Asesoría, acompañamiento y capacitación). La selección de los </w:t>
      </w:r>
      <w:r w:rsidR="00EC402D" w:rsidRPr="005C57BF">
        <w:rPr>
          <w:rFonts w:ascii="Arial" w:hAnsi="Arial" w:cs="Arial"/>
          <w:sz w:val="24"/>
          <w:szCs w:val="24"/>
        </w:rPr>
        <w:t>actores a</w:t>
      </w:r>
      <w:r w:rsidR="00A55873" w:rsidRPr="005C57BF">
        <w:rPr>
          <w:rFonts w:ascii="Arial" w:hAnsi="Arial" w:cs="Arial"/>
          <w:sz w:val="24"/>
          <w:szCs w:val="24"/>
        </w:rPr>
        <w:t xml:space="preserve"> intervenir para la vigencia se realizó con base en los siguientes criterios: </w:t>
      </w:r>
      <w:r w:rsidRPr="005C57BF">
        <w:rPr>
          <w:rFonts w:ascii="Arial" w:hAnsi="Arial" w:cs="Arial"/>
          <w:sz w:val="24"/>
          <w:szCs w:val="24"/>
        </w:rPr>
        <w:t xml:space="preserve"> </w:t>
      </w:r>
    </w:p>
    <w:p w14:paraId="176B2FD2" w14:textId="77777777" w:rsidR="00C45DE6" w:rsidRPr="00C45DE6" w:rsidRDefault="00C45DE6" w:rsidP="00C45DE6">
      <w:pPr>
        <w:pStyle w:val="NormalWeb"/>
        <w:jc w:val="both"/>
        <w:rPr>
          <w:rFonts w:ascii="Arial" w:eastAsiaTheme="minorHAnsi" w:hAnsi="Arial" w:cs="Arial"/>
          <w:kern w:val="2"/>
          <w:lang w:eastAsia="en-US"/>
          <w14:ligatures w14:val="standardContextual"/>
        </w:rPr>
      </w:pPr>
      <w:r w:rsidRPr="005C57BF">
        <w:rPr>
          <w:rFonts w:ascii="Arial" w:eastAsiaTheme="minorHAnsi" w:hAnsi="Arial" w:cs="Arial"/>
          <w:kern w:val="2"/>
          <w:lang w:eastAsia="en-US"/>
          <w14:ligatures w14:val="standardContextual"/>
        </w:rPr>
        <w:t xml:space="preserve">En la actualidad, no se cuenta con </w:t>
      </w:r>
      <w:bookmarkEnd w:id="0"/>
      <w:r w:rsidRPr="00C45DE6">
        <w:rPr>
          <w:rFonts w:ascii="Arial" w:eastAsiaTheme="minorHAnsi" w:hAnsi="Arial" w:cs="Arial"/>
          <w:kern w:val="2"/>
          <w:lang w:eastAsia="en-US"/>
          <w14:ligatures w14:val="standardContextual"/>
        </w:rPr>
        <w:t>un documento técnico formal que regule el Tamizaje Estratégico de las poblaciones, aunque las Entidades Administradoras de Planes de Beneficios (EAPB) han establecido metas claras en cuanto al Tamizaje de VIH para sus Instituciones Prestadoras de Servicios (IPS) primarias, alineándose con los lineamientos establecidos en la Resolución 3280 de 2018. Sin embargo, es necesario un fortalecimiento en la implementación de estos procesos, considerando la importancia de un enfoque integral y actualizado en el manejo de la prevención del VIH.</w:t>
      </w:r>
    </w:p>
    <w:p w14:paraId="41688A62" w14:textId="235A348F" w:rsidR="001F2DAD" w:rsidRPr="001F2DAD" w:rsidRDefault="001F2DAD" w:rsidP="001F2DAD">
      <w:pPr>
        <w:pStyle w:val="NormalWeb"/>
        <w:jc w:val="both"/>
        <w:rPr>
          <w:rFonts w:ascii="Arial" w:eastAsiaTheme="minorHAnsi" w:hAnsi="Arial" w:cs="Arial"/>
          <w:kern w:val="2"/>
          <w:lang w:eastAsia="en-US"/>
          <w14:ligatures w14:val="standardContextual"/>
        </w:rPr>
      </w:pPr>
      <w:r w:rsidRPr="001F2DAD">
        <w:rPr>
          <w:rFonts w:ascii="Arial" w:eastAsiaTheme="minorHAnsi" w:hAnsi="Arial" w:cs="Arial"/>
          <w:kern w:val="2"/>
          <w:lang w:eastAsia="en-US"/>
          <w14:ligatures w14:val="standardContextual"/>
        </w:rPr>
        <w:t>La atención para la Terapia PrEP (Profilaxis Preexposición al VIH) muestra una clara limitación en su oferta a los usuarios, lo que representa un vacío en la estrategia de prevención del VIH. Si bien algunas instituciones de salud disponen de información y documentación sobre la ruta para su implementación, en su mayoría no se está ofreciendo activamente a los usuarios que podrían beneficiarse de esta terapia, lo cual es fundamental para la gestión del riesgo de infección por el virus. La falta de una oferta sistemática y accesible de PrEP dificulta que las personas en situación de vulnerabilidad, especialmente aquellas con alto riesgo de exposición al VIH, puedan acceder a esta herramienta preventiva crucial.</w:t>
      </w:r>
    </w:p>
    <w:p w14:paraId="629197CF" w14:textId="77777777" w:rsidR="001F2DAD" w:rsidRPr="001F2DAD" w:rsidRDefault="001F2DAD" w:rsidP="001F2DAD">
      <w:pPr>
        <w:pStyle w:val="NormalWeb"/>
        <w:jc w:val="both"/>
        <w:rPr>
          <w:rFonts w:ascii="Arial" w:eastAsiaTheme="minorHAnsi" w:hAnsi="Arial" w:cs="Arial"/>
          <w:kern w:val="2"/>
          <w:lang w:eastAsia="en-US"/>
          <w14:ligatures w14:val="standardContextual"/>
        </w:rPr>
      </w:pPr>
      <w:r w:rsidRPr="001F2DAD">
        <w:rPr>
          <w:rFonts w:ascii="Arial" w:eastAsiaTheme="minorHAnsi" w:hAnsi="Arial" w:cs="Arial"/>
          <w:kern w:val="2"/>
          <w:lang w:eastAsia="en-US"/>
          <w14:ligatures w14:val="standardContextual"/>
        </w:rPr>
        <w:t>Es necesario que se refuercen los esfuerzos para incluir la PrEP como una opción integral de atención en todos los centros de salud, garantizando que los profesionales de salud estén debidamente capacitados para identificar a los pacientes en riesgo y brindarles información completa sobre esta profilaxis. Además, se debe establecer un proceso claro de inclusión en los programas de PrEP, asegurando que todos los usuarios elegibles reciban el tratamiento preventivo sin barreras, ya sean de acceso, conocimiento o cobertura.</w:t>
      </w:r>
    </w:p>
    <w:p w14:paraId="0679C19C" w14:textId="25F96A3A" w:rsidR="001F2DAD" w:rsidRPr="001F2DAD" w:rsidRDefault="00434DD0" w:rsidP="001F2DAD">
      <w:pPr>
        <w:pStyle w:val="NormalWeb"/>
        <w:jc w:val="both"/>
        <w:rPr>
          <w:rFonts w:ascii="Arial" w:eastAsiaTheme="minorHAnsi" w:hAnsi="Arial" w:cs="Arial"/>
          <w:kern w:val="2"/>
          <w:lang w:eastAsia="en-US"/>
          <w14:ligatures w14:val="standardContextual"/>
        </w:rPr>
      </w:pPr>
      <w:r w:rsidRPr="00434DD0">
        <w:rPr>
          <w:rFonts w:ascii="Arial" w:eastAsiaTheme="minorHAnsi" w:hAnsi="Arial" w:cs="Arial"/>
          <w:kern w:val="2"/>
          <w:lang w:eastAsia="en-US"/>
          <w14:ligatures w14:val="standardContextual"/>
        </w:rPr>
        <w:t xml:space="preserve">No se evidencia una promoción adecuada del autotest para VIH por parte de las instituciones de salud, a pesar de que este recurso representa una herramienta efectiva dentro de la estrategia de prevención combinada del VIH. Aunque el alcance del autotest no se encuentra actualmente en la oferta estándar a los </w:t>
      </w:r>
      <w:r w:rsidRPr="00434DD0">
        <w:rPr>
          <w:rFonts w:ascii="Arial" w:eastAsiaTheme="minorHAnsi" w:hAnsi="Arial" w:cs="Arial"/>
          <w:kern w:val="2"/>
          <w:lang w:eastAsia="en-US"/>
          <w14:ligatures w14:val="standardContextual"/>
        </w:rPr>
        <w:lastRenderedPageBreak/>
        <w:t>usuarios, es fundamental que las instituciones de salud se comprometan a darlo a conocer como una opción accesible, discreta y eficaz para el diagnóstico temprano del VIH.</w:t>
      </w:r>
    </w:p>
    <w:p w14:paraId="03A9C794" w14:textId="5E51701B" w:rsidR="00434DD0" w:rsidRDefault="001F2DAD" w:rsidP="001F2DAD">
      <w:pPr>
        <w:pStyle w:val="NormalWeb"/>
        <w:jc w:val="both"/>
        <w:rPr>
          <w:rFonts w:ascii="Arial" w:eastAsiaTheme="minorHAnsi" w:hAnsi="Arial" w:cs="Arial"/>
          <w:kern w:val="2"/>
          <w:lang w:eastAsia="en-US"/>
          <w14:ligatures w14:val="standardContextual"/>
        </w:rPr>
      </w:pPr>
      <w:r w:rsidRPr="001F2DAD">
        <w:rPr>
          <w:rFonts w:ascii="Arial" w:eastAsiaTheme="minorHAnsi" w:hAnsi="Arial" w:cs="Arial"/>
          <w:kern w:val="2"/>
          <w:lang w:eastAsia="en-US"/>
          <w14:ligatures w14:val="standardContextual"/>
        </w:rPr>
        <w:t>Por otro lado, también se evidencia una ausencia de oferta de la PEP (Profilaxis Post</w:t>
      </w:r>
      <w:r w:rsidR="00272DF9">
        <w:rPr>
          <w:rFonts w:ascii="Arial" w:eastAsiaTheme="minorHAnsi" w:hAnsi="Arial" w:cs="Arial"/>
          <w:kern w:val="2"/>
          <w:lang w:eastAsia="en-US"/>
          <w14:ligatures w14:val="standardContextual"/>
        </w:rPr>
        <w:t xml:space="preserve"> </w:t>
      </w:r>
      <w:r w:rsidRPr="001F2DAD">
        <w:rPr>
          <w:rFonts w:ascii="Arial" w:eastAsiaTheme="minorHAnsi" w:hAnsi="Arial" w:cs="Arial"/>
          <w:kern w:val="2"/>
          <w:lang w:eastAsia="en-US"/>
          <w14:ligatures w14:val="standardContextual"/>
        </w:rPr>
        <w:t>exposición al VIH) para los diferentes casos en los que esta intervención sería apropiada, como en situaciones de exposición reciente al virus debido a prácticas sexuales sin protección o accidentes laborales. La falta de disponibilidad y promoción de la PEP en los centros de salud representa un obstáculo adicional en la lucha contra la propagación del VIH, ya que esta terapia es una herramienta clave para prevenir la infección en situaciones de exposición de riesgo reciente.</w:t>
      </w:r>
      <w:r w:rsidR="00434DD0">
        <w:rPr>
          <w:rFonts w:ascii="Arial" w:eastAsiaTheme="minorHAnsi" w:hAnsi="Arial" w:cs="Arial"/>
          <w:kern w:val="2"/>
          <w:lang w:eastAsia="en-US"/>
          <w14:ligatures w14:val="standardContextual"/>
        </w:rPr>
        <w:t xml:space="preserve"> </w:t>
      </w:r>
    </w:p>
    <w:p w14:paraId="5CD95B75" w14:textId="60B391E7" w:rsidR="00B84CED" w:rsidRDefault="00C45DE6" w:rsidP="001F2DAD">
      <w:pPr>
        <w:pStyle w:val="NormalWeb"/>
        <w:jc w:val="both"/>
        <w:rPr>
          <w:rFonts w:ascii="Arial" w:eastAsiaTheme="minorHAnsi" w:hAnsi="Arial" w:cs="Arial"/>
          <w:kern w:val="2"/>
          <w:lang w:eastAsia="en-US"/>
          <w14:ligatures w14:val="standardContextual"/>
        </w:rPr>
      </w:pPr>
      <w:r w:rsidRPr="00C45DE6">
        <w:rPr>
          <w:rFonts w:ascii="Arial" w:eastAsiaTheme="minorHAnsi" w:hAnsi="Arial" w:cs="Arial"/>
          <w:kern w:val="2"/>
          <w:lang w:eastAsia="en-US"/>
          <w14:ligatures w14:val="standardContextual"/>
        </w:rPr>
        <w:t xml:space="preserve">Respecto a la búsqueda activa </w:t>
      </w:r>
      <w:r w:rsidR="00AC3DD6">
        <w:rPr>
          <w:rFonts w:ascii="Arial" w:eastAsiaTheme="minorHAnsi" w:hAnsi="Arial" w:cs="Arial"/>
          <w:kern w:val="2"/>
          <w:lang w:eastAsia="en-US"/>
          <w14:ligatures w14:val="standardContextual"/>
        </w:rPr>
        <w:t>de casos</w:t>
      </w:r>
      <w:r w:rsidR="00B84CED">
        <w:rPr>
          <w:rFonts w:ascii="Arial" w:eastAsiaTheme="minorHAnsi" w:hAnsi="Arial" w:cs="Arial"/>
          <w:kern w:val="2"/>
          <w:lang w:eastAsia="en-US"/>
          <w14:ligatures w14:val="standardContextual"/>
        </w:rPr>
        <w:t>, a</w:t>
      </w:r>
      <w:r w:rsidR="00B84CED" w:rsidRPr="00B84CED">
        <w:rPr>
          <w:rFonts w:ascii="Arial" w:eastAsiaTheme="minorHAnsi" w:hAnsi="Arial" w:cs="Arial"/>
          <w:kern w:val="2"/>
          <w:lang w:eastAsia="en-US"/>
          <w14:ligatures w14:val="standardContextual"/>
        </w:rPr>
        <w:t xml:space="preserve">unque existe un </w:t>
      </w:r>
      <w:r w:rsidR="00B84CED">
        <w:rPr>
          <w:rFonts w:ascii="Arial" w:eastAsiaTheme="minorHAnsi" w:hAnsi="Arial" w:cs="Arial"/>
          <w:kern w:val="2"/>
          <w:lang w:eastAsia="en-US"/>
          <w14:ligatures w14:val="standardContextual"/>
        </w:rPr>
        <w:t xml:space="preserve">buena oferta de </w:t>
      </w:r>
      <w:r w:rsidR="00B84CED" w:rsidRPr="00B84CED">
        <w:rPr>
          <w:rFonts w:ascii="Arial" w:eastAsiaTheme="minorHAnsi" w:hAnsi="Arial" w:cs="Arial"/>
          <w:kern w:val="2"/>
          <w:lang w:eastAsia="en-US"/>
          <w14:ligatures w14:val="standardContextual"/>
        </w:rPr>
        <w:t xml:space="preserve"> tamización </w:t>
      </w:r>
      <w:r w:rsidR="00B84CED">
        <w:rPr>
          <w:rFonts w:ascii="Arial" w:eastAsiaTheme="minorHAnsi" w:hAnsi="Arial" w:cs="Arial"/>
          <w:kern w:val="2"/>
          <w:lang w:eastAsia="en-US"/>
          <w14:ligatures w14:val="standardContextual"/>
        </w:rPr>
        <w:t>la cual se brinda por e</w:t>
      </w:r>
      <w:r w:rsidR="00B84CED" w:rsidRPr="00B84CED">
        <w:rPr>
          <w:rFonts w:ascii="Arial" w:eastAsiaTheme="minorHAnsi" w:hAnsi="Arial" w:cs="Arial"/>
          <w:kern w:val="2"/>
          <w:lang w:eastAsia="en-US"/>
          <w14:ligatures w14:val="standardContextual"/>
        </w:rPr>
        <w:t xml:space="preserve">l ente </w:t>
      </w:r>
      <w:r w:rsidR="00B84CED" w:rsidRPr="00B84CED">
        <w:rPr>
          <w:rFonts w:ascii="Arial" w:eastAsiaTheme="minorHAnsi" w:hAnsi="Arial" w:cs="Arial"/>
          <w:kern w:val="2"/>
          <w:lang w:eastAsia="en-US"/>
          <w14:ligatures w14:val="standardContextual"/>
        </w:rPr>
        <w:t>territorial</w:t>
      </w:r>
      <w:r w:rsidR="00B84CED" w:rsidRPr="00B84CED">
        <w:rPr>
          <w:rFonts w:ascii="Arial" w:eastAsiaTheme="minorHAnsi" w:hAnsi="Arial" w:cs="Arial"/>
          <w:kern w:val="2"/>
          <w:lang w:eastAsia="en-US"/>
          <w14:ligatures w14:val="standardContextual"/>
        </w:rPr>
        <w:t>, la cooperación internacional y el sector asegurador aun nos quedamos cortos en la canalización efectiva y oportuna de casos positivos</w:t>
      </w:r>
      <w:r w:rsidR="00B84CED">
        <w:rPr>
          <w:rFonts w:ascii="Arial" w:eastAsiaTheme="minorHAnsi" w:hAnsi="Arial" w:cs="Arial"/>
          <w:kern w:val="2"/>
          <w:lang w:eastAsia="en-US"/>
          <w14:ligatures w14:val="standardContextual"/>
        </w:rPr>
        <w:t xml:space="preserve"> </w:t>
      </w:r>
      <w:r w:rsidRPr="00C45DE6">
        <w:rPr>
          <w:rFonts w:ascii="Arial" w:eastAsiaTheme="minorHAnsi" w:hAnsi="Arial" w:cs="Arial"/>
          <w:kern w:val="2"/>
          <w:lang w:eastAsia="en-US"/>
          <w14:ligatures w14:val="standardContextual"/>
        </w:rPr>
        <w:t>y la captación de pacientes con pérdida de seguimiento, se observa que, en algunas instituciones, aún no se cuenta con procedimientos documentados ni estrategias consistentes para garantizar el regreso al tratamiento de estas personas</w:t>
      </w:r>
      <w:r w:rsidR="00B519F4">
        <w:rPr>
          <w:rFonts w:ascii="Arial" w:eastAsiaTheme="minorHAnsi" w:hAnsi="Arial" w:cs="Arial"/>
          <w:kern w:val="2"/>
          <w:lang w:eastAsia="en-US"/>
          <w14:ligatures w14:val="standardContextual"/>
        </w:rPr>
        <w:t>, presentándose</w:t>
      </w:r>
      <w:r w:rsidR="00B84CED">
        <w:rPr>
          <w:rFonts w:ascii="Arial" w:eastAsiaTheme="minorHAnsi" w:hAnsi="Arial" w:cs="Arial"/>
          <w:kern w:val="2"/>
          <w:lang w:eastAsia="en-US"/>
          <w14:ligatures w14:val="standardContextual"/>
        </w:rPr>
        <w:t xml:space="preserve"> </w:t>
      </w:r>
      <w:r w:rsidR="00B84CED" w:rsidRPr="00B84CED">
        <w:rPr>
          <w:rFonts w:ascii="Arial" w:eastAsiaTheme="minorHAnsi" w:hAnsi="Arial" w:cs="Arial"/>
          <w:kern w:val="2"/>
          <w:lang w:eastAsia="en-US"/>
          <w14:ligatures w14:val="standardContextual"/>
        </w:rPr>
        <w:t xml:space="preserve">altos </w:t>
      </w:r>
      <w:r w:rsidR="00B84CED" w:rsidRPr="00B84CED">
        <w:rPr>
          <w:rFonts w:ascii="Arial" w:eastAsiaTheme="minorHAnsi" w:hAnsi="Arial" w:cs="Arial"/>
          <w:kern w:val="2"/>
          <w:lang w:eastAsia="en-US"/>
          <w14:ligatures w14:val="standardContextual"/>
        </w:rPr>
        <w:t>índices</w:t>
      </w:r>
      <w:r w:rsidR="00B84CED" w:rsidRPr="00B84CED">
        <w:rPr>
          <w:rFonts w:ascii="Arial" w:eastAsiaTheme="minorHAnsi" w:hAnsi="Arial" w:cs="Arial"/>
          <w:kern w:val="2"/>
          <w:lang w:eastAsia="en-US"/>
          <w14:ligatures w14:val="standardContextual"/>
        </w:rPr>
        <w:t xml:space="preserve"> de abandono en el tratamiento especialmente en poblaciones vulnerables por ejemplo como habitantes de calle”</w:t>
      </w:r>
    </w:p>
    <w:p w14:paraId="569D0783" w14:textId="4DB19352" w:rsidR="00C45DE6" w:rsidRDefault="005D2B92" w:rsidP="00C45DE6">
      <w:pPr>
        <w:pStyle w:val="NormalWeb"/>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E</w:t>
      </w:r>
      <w:r w:rsidR="00C45DE6" w:rsidRPr="00C45DE6">
        <w:rPr>
          <w:rFonts w:ascii="Arial" w:eastAsiaTheme="minorHAnsi" w:hAnsi="Arial" w:cs="Arial"/>
          <w:kern w:val="2"/>
          <w:lang w:eastAsia="en-US"/>
          <w14:ligatures w14:val="standardContextual"/>
        </w:rPr>
        <w:t>l enfoque diferencial, aunque reconocido como necesario, aún no se ha consolidado como una política robusta en la mayoría de las instituciones visitadas. En aquellas que han desarrollado algún proceso relacionado, no se evidencian aplicaciones sistemáticas de los mismos. Se requiere una mayor orientación hacia la inclusión de todas las poblaciones vulnerables, garantizando que cada individuo reciba una atención acorde a sus características y necesidades específicas.</w:t>
      </w:r>
    </w:p>
    <w:p w14:paraId="61360E38" w14:textId="77777777" w:rsidR="00C45DE6" w:rsidRPr="00C45DE6" w:rsidRDefault="00C45DE6" w:rsidP="00C45DE6">
      <w:pPr>
        <w:pStyle w:val="NormalWeb"/>
        <w:jc w:val="both"/>
        <w:rPr>
          <w:rFonts w:ascii="Arial" w:eastAsiaTheme="minorHAnsi" w:hAnsi="Arial" w:cs="Arial"/>
          <w:kern w:val="2"/>
          <w:lang w:eastAsia="en-US"/>
          <w14:ligatures w14:val="standardContextual"/>
        </w:rPr>
      </w:pPr>
      <w:r w:rsidRPr="00C45DE6">
        <w:rPr>
          <w:rFonts w:ascii="Arial" w:eastAsiaTheme="minorHAnsi" w:hAnsi="Arial" w:cs="Arial"/>
          <w:kern w:val="2"/>
          <w:lang w:eastAsia="en-US"/>
          <w14:ligatures w14:val="standardContextual"/>
        </w:rPr>
        <w:t>Por último, es importante destacar que no se realiza un seguimiento adecuado para los usuarios con resultados negativos en las pruebas de VIH. En este sentido, sería necesario implementar procedimientos que aseguren la remisión adecuada a la Red Integrada de Atención (RIA) de Promoción y Mantenimiento de la Salud, con el fin de brindar un acompañamiento continuo y evitar riesgos de exposición futura al VIH.</w:t>
      </w:r>
    </w:p>
    <w:p w14:paraId="7381FDED" w14:textId="0CBE27CD" w:rsidR="00350F4D" w:rsidRPr="009C4FB4" w:rsidRDefault="00324FB6" w:rsidP="005361DB">
      <w:pPr>
        <w:spacing w:after="0" w:line="360" w:lineRule="auto"/>
        <w:ind w:right="57"/>
        <w:jc w:val="both"/>
        <w:rPr>
          <w:rFonts w:ascii="Arial" w:hAnsi="Arial" w:cs="Arial"/>
          <w:b/>
          <w:bCs/>
          <w:sz w:val="24"/>
          <w:szCs w:val="24"/>
        </w:rPr>
      </w:pPr>
      <w:r>
        <w:rPr>
          <w:rFonts w:ascii="Arial" w:hAnsi="Arial" w:cs="Arial"/>
          <w:b/>
          <w:bCs/>
          <w:sz w:val="24"/>
          <w:szCs w:val="24"/>
        </w:rPr>
        <w:t>Criterios para la priorización de los actores:</w:t>
      </w:r>
    </w:p>
    <w:p w14:paraId="5F6CD4EE" w14:textId="0D632986" w:rsidR="005361DB" w:rsidRPr="009C4FB4" w:rsidRDefault="005361DB" w:rsidP="005361DB">
      <w:pPr>
        <w:pStyle w:val="Prrafodelista"/>
        <w:numPr>
          <w:ilvl w:val="0"/>
          <w:numId w:val="15"/>
        </w:numPr>
        <w:spacing w:after="0" w:line="360" w:lineRule="auto"/>
        <w:ind w:right="57"/>
        <w:jc w:val="both"/>
        <w:rPr>
          <w:rFonts w:ascii="Arial" w:hAnsi="Arial" w:cs="Arial"/>
          <w:sz w:val="24"/>
          <w:szCs w:val="24"/>
        </w:rPr>
      </w:pPr>
      <w:r w:rsidRPr="009C4FB4">
        <w:rPr>
          <w:rFonts w:ascii="Arial" w:hAnsi="Arial" w:cs="Arial"/>
          <w:sz w:val="24"/>
          <w:szCs w:val="24"/>
        </w:rPr>
        <w:t xml:space="preserve">Listado de Instituciones de salud habilitadas para prestar atención </w:t>
      </w:r>
      <w:r w:rsidR="00156771" w:rsidRPr="009C4FB4">
        <w:rPr>
          <w:rFonts w:ascii="Arial" w:hAnsi="Arial" w:cs="Arial"/>
          <w:sz w:val="24"/>
          <w:szCs w:val="24"/>
        </w:rPr>
        <w:t>a personas con VIH.</w:t>
      </w:r>
    </w:p>
    <w:p w14:paraId="5177E5D7" w14:textId="20031987" w:rsidR="005361DB" w:rsidRDefault="005361DB" w:rsidP="005361DB">
      <w:pPr>
        <w:pStyle w:val="Prrafodelista"/>
        <w:numPr>
          <w:ilvl w:val="0"/>
          <w:numId w:val="15"/>
        </w:numPr>
        <w:spacing w:after="0" w:line="360" w:lineRule="auto"/>
        <w:ind w:right="57"/>
        <w:jc w:val="both"/>
        <w:rPr>
          <w:rFonts w:ascii="Arial" w:hAnsi="Arial" w:cs="Arial"/>
          <w:sz w:val="24"/>
          <w:szCs w:val="24"/>
        </w:rPr>
      </w:pPr>
      <w:r w:rsidRPr="009C4FB4">
        <w:rPr>
          <w:rFonts w:ascii="Arial" w:hAnsi="Arial" w:cs="Arial"/>
          <w:sz w:val="24"/>
          <w:szCs w:val="24"/>
        </w:rPr>
        <w:t>Instituciones IPS, EAPB/ESE, que de acuerdo con el informe consolidado de la vigencia anterior 2024, no se lograron intervenir con el proceso de desarrollo de capacidades.</w:t>
      </w:r>
    </w:p>
    <w:p w14:paraId="6FEF4D37" w14:textId="7D02F801" w:rsidR="00B42EC9" w:rsidRPr="002D76D9" w:rsidRDefault="00B42EC9" w:rsidP="00B42EC9">
      <w:pPr>
        <w:pStyle w:val="Prrafodelista"/>
        <w:numPr>
          <w:ilvl w:val="0"/>
          <w:numId w:val="15"/>
        </w:numPr>
        <w:spacing w:after="0" w:line="360" w:lineRule="auto"/>
        <w:ind w:right="57"/>
        <w:jc w:val="both"/>
        <w:rPr>
          <w:rFonts w:ascii="Arial" w:hAnsi="Arial" w:cs="Arial"/>
          <w:sz w:val="24"/>
          <w:szCs w:val="24"/>
        </w:rPr>
      </w:pPr>
      <w:r w:rsidRPr="002D76D9">
        <w:rPr>
          <w:rFonts w:ascii="Arial" w:hAnsi="Arial" w:cs="Arial"/>
          <w:sz w:val="24"/>
          <w:szCs w:val="24"/>
        </w:rPr>
        <w:t xml:space="preserve">Instituciones IPS, EAPB/ESE, que de acuerdo con el informe consolidado de la vigencia anterior 2024, </w:t>
      </w:r>
      <w:r>
        <w:rPr>
          <w:rFonts w:ascii="Arial" w:hAnsi="Arial" w:cs="Arial"/>
          <w:sz w:val="24"/>
          <w:szCs w:val="24"/>
        </w:rPr>
        <w:t xml:space="preserve">presentaron debilidades en la oferta de algunos </w:t>
      </w:r>
      <w:r>
        <w:rPr>
          <w:rFonts w:ascii="Arial" w:hAnsi="Arial" w:cs="Arial"/>
          <w:sz w:val="24"/>
          <w:szCs w:val="24"/>
        </w:rPr>
        <w:lastRenderedPageBreak/>
        <w:t>servicios de salud relacionados con la estrategia de Prevención Combinad</w:t>
      </w:r>
      <w:r w:rsidR="004F2E31">
        <w:rPr>
          <w:rFonts w:ascii="Arial" w:hAnsi="Arial" w:cs="Arial"/>
          <w:sz w:val="24"/>
          <w:szCs w:val="24"/>
        </w:rPr>
        <w:t xml:space="preserve">a </w:t>
      </w:r>
      <w:r>
        <w:rPr>
          <w:rFonts w:ascii="Arial" w:hAnsi="Arial" w:cs="Arial"/>
          <w:sz w:val="24"/>
          <w:szCs w:val="24"/>
        </w:rPr>
        <w:t>para VIH.</w:t>
      </w:r>
    </w:p>
    <w:p w14:paraId="5E906DB8" w14:textId="114E517C" w:rsidR="006F5300" w:rsidRDefault="00FD34B2" w:rsidP="00E00C6D">
      <w:pPr>
        <w:pStyle w:val="Prrafodelista"/>
        <w:numPr>
          <w:ilvl w:val="0"/>
          <w:numId w:val="15"/>
        </w:numPr>
        <w:spacing w:after="0" w:line="360" w:lineRule="auto"/>
        <w:ind w:right="57"/>
        <w:jc w:val="both"/>
        <w:rPr>
          <w:rFonts w:ascii="Arial" w:hAnsi="Arial" w:cs="Arial"/>
          <w:sz w:val="24"/>
          <w:szCs w:val="24"/>
        </w:rPr>
      </w:pPr>
      <w:r w:rsidRPr="009C4FB4">
        <w:rPr>
          <w:rFonts w:ascii="Arial" w:hAnsi="Arial" w:cs="Arial"/>
          <w:sz w:val="24"/>
          <w:szCs w:val="24"/>
        </w:rPr>
        <w:t xml:space="preserve">Resultados de las </w:t>
      </w:r>
      <w:r w:rsidR="006F5300" w:rsidRPr="009C4FB4">
        <w:rPr>
          <w:rFonts w:ascii="Arial" w:hAnsi="Arial" w:cs="Arial"/>
          <w:sz w:val="24"/>
          <w:szCs w:val="24"/>
        </w:rPr>
        <w:t>PQR</w:t>
      </w:r>
      <w:r w:rsidRPr="009C4FB4">
        <w:rPr>
          <w:rFonts w:ascii="Arial" w:hAnsi="Arial" w:cs="Arial"/>
          <w:sz w:val="24"/>
          <w:szCs w:val="24"/>
        </w:rPr>
        <w:t>S, asociadas a la atención de las EAPB en la vigencia anterior.</w:t>
      </w:r>
      <w:r w:rsidR="006F5300" w:rsidRPr="009C4FB4">
        <w:rPr>
          <w:rFonts w:ascii="Arial" w:hAnsi="Arial" w:cs="Arial"/>
          <w:sz w:val="24"/>
          <w:szCs w:val="24"/>
        </w:rPr>
        <w:t xml:space="preserve"> </w:t>
      </w:r>
    </w:p>
    <w:p w14:paraId="5E847CB7" w14:textId="3B98DDA7" w:rsidR="001D38CC" w:rsidRDefault="001D38CC" w:rsidP="001D38CC">
      <w:pPr>
        <w:pStyle w:val="Prrafodelista"/>
        <w:numPr>
          <w:ilvl w:val="0"/>
          <w:numId w:val="15"/>
        </w:numPr>
        <w:rPr>
          <w:rFonts w:ascii="Arial" w:hAnsi="Arial" w:cs="Arial"/>
          <w:sz w:val="24"/>
          <w:szCs w:val="24"/>
        </w:rPr>
      </w:pPr>
      <w:r>
        <w:rPr>
          <w:rFonts w:ascii="Arial" w:hAnsi="Arial" w:cs="Arial"/>
          <w:sz w:val="24"/>
          <w:szCs w:val="24"/>
        </w:rPr>
        <w:t xml:space="preserve">La información </w:t>
      </w:r>
      <w:r w:rsidRPr="001D38CC">
        <w:rPr>
          <w:rFonts w:ascii="Arial" w:hAnsi="Arial" w:cs="Arial"/>
          <w:sz w:val="24"/>
          <w:szCs w:val="24"/>
        </w:rPr>
        <w:t>del ASIS distrital; relacionado con los resultados de los indicadores de la incidencia para VIH se encuentran más alta en el Distrito que en el departamento.</w:t>
      </w:r>
    </w:p>
    <w:p w14:paraId="20F7EA66" w14:textId="61E81B9A" w:rsidR="001D3F4D" w:rsidRDefault="001D3F4D" w:rsidP="001D3F4D">
      <w:pPr>
        <w:pStyle w:val="Prrafodelista"/>
        <w:rPr>
          <w:rFonts w:ascii="Arial" w:hAnsi="Arial" w:cs="Arial"/>
          <w:sz w:val="24"/>
          <w:szCs w:val="24"/>
        </w:rPr>
      </w:pPr>
      <w:r w:rsidRPr="001D38CC">
        <w:rPr>
          <w:rFonts w:ascii="Arial" w:hAnsi="Arial" w:cs="Arial"/>
          <w:sz w:val="24"/>
          <w:szCs w:val="24"/>
        </w:rPr>
        <w:t xml:space="preserve">La cobertura para el tratamiento antirretroviral </w:t>
      </w:r>
      <w:r>
        <w:rPr>
          <w:rFonts w:ascii="Arial" w:hAnsi="Arial" w:cs="Arial"/>
          <w:sz w:val="24"/>
          <w:szCs w:val="24"/>
        </w:rPr>
        <w:t>se encuentra por debajo del indicador establecido.</w:t>
      </w:r>
    </w:p>
    <w:p w14:paraId="2077C6E7" w14:textId="5F80B8CD" w:rsidR="001D3F4D" w:rsidRPr="001D3F4D" w:rsidRDefault="008F6825" w:rsidP="001D3F4D">
      <w:pPr>
        <w:pStyle w:val="Prrafodelista"/>
        <w:numPr>
          <w:ilvl w:val="0"/>
          <w:numId w:val="19"/>
        </w:numPr>
        <w:rPr>
          <w:rFonts w:ascii="Arial" w:hAnsi="Arial" w:cs="Arial"/>
          <w:sz w:val="24"/>
          <w:szCs w:val="24"/>
        </w:rPr>
      </w:pPr>
      <w:r>
        <w:rPr>
          <w:rFonts w:ascii="Arial" w:hAnsi="Arial" w:cs="Arial"/>
          <w:sz w:val="24"/>
          <w:szCs w:val="24"/>
        </w:rPr>
        <w:t xml:space="preserve">Instituciones con </w:t>
      </w:r>
      <w:r w:rsidR="000454C1">
        <w:rPr>
          <w:rFonts w:ascii="Arial" w:hAnsi="Arial" w:cs="Arial"/>
          <w:sz w:val="24"/>
          <w:szCs w:val="24"/>
        </w:rPr>
        <w:t>más de 200 casos de abandono a tratamiento antirretroviral.</w:t>
      </w:r>
    </w:p>
    <w:p w14:paraId="727C2DDA" w14:textId="77777777" w:rsidR="001D3F4D" w:rsidRDefault="001D3F4D" w:rsidP="001D3F4D">
      <w:pPr>
        <w:pStyle w:val="Prrafodelista"/>
        <w:rPr>
          <w:rFonts w:ascii="Arial" w:hAnsi="Arial" w:cs="Arial"/>
          <w:sz w:val="24"/>
          <w:szCs w:val="24"/>
        </w:rPr>
      </w:pPr>
    </w:p>
    <w:p w14:paraId="7B10C1B1" w14:textId="7D72ED32" w:rsidR="00811A49" w:rsidRDefault="00811A49" w:rsidP="0065638D">
      <w:pPr>
        <w:spacing w:after="0" w:line="360" w:lineRule="auto"/>
        <w:ind w:right="57"/>
        <w:jc w:val="both"/>
        <w:rPr>
          <w:rFonts w:ascii="Arial" w:hAnsi="Arial" w:cs="Arial"/>
          <w:sz w:val="24"/>
          <w:szCs w:val="24"/>
        </w:rPr>
      </w:pPr>
      <w:r w:rsidRPr="00F86BF3">
        <w:rPr>
          <w:rFonts w:ascii="Arial" w:hAnsi="Arial" w:cs="Arial"/>
          <w:sz w:val="24"/>
          <w:szCs w:val="24"/>
        </w:rPr>
        <w:t>Por consiguiente, con base en los criterios anteriores se define el listado de instituciones</w:t>
      </w:r>
      <w:r w:rsidR="0065638D" w:rsidRPr="00F86BF3">
        <w:rPr>
          <w:rFonts w:ascii="Arial" w:hAnsi="Arial" w:cs="Arial"/>
          <w:sz w:val="24"/>
          <w:szCs w:val="24"/>
        </w:rPr>
        <w:t xml:space="preserve">, </w:t>
      </w:r>
      <w:r w:rsidRPr="00F86BF3">
        <w:rPr>
          <w:rFonts w:ascii="Arial" w:hAnsi="Arial" w:cs="Arial"/>
          <w:sz w:val="24"/>
          <w:szCs w:val="24"/>
        </w:rPr>
        <w:t xml:space="preserve">para </w:t>
      </w:r>
      <w:r w:rsidR="009C4FB4">
        <w:rPr>
          <w:rFonts w:ascii="Arial" w:hAnsi="Arial" w:cs="Arial"/>
          <w:sz w:val="24"/>
          <w:szCs w:val="24"/>
        </w:rPr>
        <w:t xml:space="preserve">posterior </w:t>
      </w:r>
      <w:r w:rsidR="009C4FB4" w:rsidRPr="00F86BF3">
        <w:rPr>
          <w:rFonts w:ascii="Arial" w:hAnsi="Arial" w:cs="Arial"/>
          <w:sz w:val="24"/>
          <w:szCs w:val="24"/>
        </w:rPr>
        <w:t>elaboración</w:t>
      </w:r>
      <w:r w:rsidRPr="00F86BF3">
        <w:rPr>
          <w:rFonts w:ascii="Arial" w:hAnsi="Arial" w:cs="Arial"/>
          <w:sz w:val="24"/>
          <w:szCs w:val="24"/>
        </w:rPr>
        <w:t xml:space="preserve"> del cronograma de visitas </w:t>
      </w:r>
      <w:r w:rsidR="00180C4B">
        <w:rPr>
          <w:rFonts w:ascii="Arial" w:hAnsi="Arial" w:cs="Arial"/>
          <w:sz w:val="24"/>
          <w:szCs w:val="24"/>
        </w:rPr>
        <w:t>de asistencia técnica</w:t>
      </w:r>
      <w:r w:rsidR="008A6988">
        <w:rPr>
          <w:rFonts w:ascii="Arial" w:hAnsi="Arial" w:cs="Arial"/>
          <w:sz w:val="24"/>
          <w:szCs w:val="24"/>
        </w:rPr>
        <w:t>.</w:t>
      </w:r>
    </w:p>
    <w:p w14:paraId="1E9771B1" w14:textId="77777777" w:rsidR="0017023C" w:rsidRDefault="0017023C" w:rsidP="0065638D">
      <w:pPr>
        <w:spacing w:after="0" w:line="360" w:lineRule="auto"/>
        <w:ind w:right="57"/>
        <w:jc w:val="both"/>
        <w:rPr>
          <w:rFonts w:ascii="Arial" w:hAnsi="Arial" w:cs="Arial"/>
          <w:sz w:val="24"/>
          <w:szCs w:val="24"/>
        </w:rPr>
      </w:pPr>
    </w:p>
    <w:p w14:paraId="7A5D6607" w14:textId="77777777" w:rsidR="00180C4B" w:rsidRPr="0003544E" w:rsidRDefault="00180C4B" w:rsidP="00180C4B">
      <w:pPr>
        <w:spacing w:after="0" w:line="360" w:lineRule="auto"/>
        <w:ind w:right="57"/>
        <w:jc w:val="both"/>
        <w:rPr>
          <w:rFonts w:ascii="Arial" w:hAnsi="Arial" w:cs="Arial"/>
          <w:sz w:val="24"/>
          <w:szCs w:val="24"/>
        </w:rPr>
      </w:pPr>
      <w:r w:rsidRPr="0003544E">
        <w:rPr>
          <w:rFonts w:ascii="Arial" w:hAnsi="Arial" w:cs="Arial"/>
          <w:b/>
          <w:bCs/>
          <w:sz w:val="24"/>
          <w:szCs w:val="24"/>
        </w:rPr>
        <w:t>Meta:</w:t>
      </w:r>
    </w:p>
    <w:p w14:paraId="6C200D41" w14:textId="7689EFDE" w:rsidR="00180C4B" w:rsidRDefault="00180C4B" w:rsidP="00180C4B">
      <w:pPr>
        <w:spacing w:after="0" w:line="360" w:lineRule="auto"/>
        <w:ind w:right="57"/>
        <w:jc w:val="both"/>
        <w:rPr>
          <w:rFonts w:ascii="Arial" w:hAnsi="Arial" w:cs="Arial"/>
          <w:sz w:val="24"/>
          <w:szCs w:val="24"/>
        </w:rPr>
      </w:pPr>
      <w:r w:rsidRPr="0003544E">
        <w:rPr>
          <w:rFonts w:ascii="Arial" w:hAnsi="Arial" w:cs="Arial"/>
          <w:sz w:val="24"/>
          <w:szCs w:val="24"/>
        </w:rPr>
        <w:t>100%, de los actores sistema SGSSS programados EAPB del régimen contributivo, subsidiado, régimen especial y excepción, IPS, públicas, privadas y ESE,</w:t>
      </w:r>
      <w:r>
        <w:rPr>
          <w:rFonts w:ascii="Arial" w:hAnsi="Arial" w:cs="Arial"/>
          <w:sz w:val="24"/>
          <w:szCs w:val="24"/>
        </w:rPr>
        <w:t xml:space="preserve"> </w:t>
      </w:r>
      <w:r w:rsidRPr="0003544E">
        <w:rPr>
          <w:rFonts w:ascii="Arial" w:hAnsi="Arial" w:cs="Arial"/>
          <w:sz w:val="24"/>
          <w:szCs w:val="24"/>
        </w:rPr>
        <w:t xml:space="preserve">para la vigencia 2025; con asistencia técnica </w:t>
      </w:r>
      <w:r>
        <w:rPr>
          <w:rFonts w:ascii="Arial" w:hAnsi="Arial" w:cs="Arial"/>
          <w:sz w:val="24"/>
          <w:szCs w:val="24"/>
        </w:rPr>
        <w:t>realizada</w:t>
      </w:r>
      <w:r w:rsidR="00471ECF">
        <w:rPr>
          <w:rFonts w:ascii="Arial" w:hAnsi="Arial" w:cs="Arial"/>
          <w:sz w:val="24"/>
          <w:szCs w:val="24"/>
        </w:rPr>
        <w:t xml:space="preserve"> </w:t>
      </w:r>
      <w:r w:rsidRPr="0003544E">
        <w:rPr>
          <w:rFonts w:ascii="Arial" w:hAnsi="Arial" w:cs="Arial"/>
          <w:sz w:val="24"/>
          <w:szCs w:val="24"/>
        </w:rPr>
        <w:t>en el Distrito de Cali.</w:t>
      </w:r>
    </w:p>
    <w:p w14:paraId="47DD49C0" w14:textId="77777777" w:rsidR="00372EE7" w:rsidRDefault="00372EE7" w:rsidP="00180C4B">
      <w:pPr>
        <w:spacing w:after="0" w:line="360" w:lineRule="auto"/>
        <w:ind w:right="57"/>
        <w:jc w:val="both"/>
        <w:rPr>
          <w:rFonts w:ascii="Arial" w:hAnsi="Arial" w:cs="Arial"/>
          <w:color w:val="60CAF3" w:themeColor="accent4" w:themeTint="99"/>
          <w:sz w:val="24"/>
          <w:szCs w:val="24"/>
        </w:rPr>
      </w:pPr>
    </w:p>
    <w:p w14:paraId="7C9464E0" w14:textId="67016F34" w:rsidR="005361DB" w:rsidRPr="005361DB" w:rsidRDefault="008B1102" w:rsidP="005361DB">
      <w:pPr>
        <w:spacing w:after="0" w:line="360" w:lineRule="auto"/>
        <w:ind w:right="57"/>
        <w:jc w:val="both"/>
        <w:rPr>
          <w:rFonts w:ascii="Arial" w:hAnsi="Arial" w:cs="Arial"/>
          <w:b/>
          <w:bCs/>
          <w:sz w:val="24"/>
          <w:szCs w:val="24"/>
        </w:rPr>
      </w:pPr>
      <w:r>
        <w:rPr>
          <w:rFonts w:ascii="Arial" w:hAnsi="Arial" w:cs="Arial"/>
          <w:b/>
          <w:bCs/>
          <w:sz w:val="24"/>
          <w:szCs w:val="24"/>
        </w:rPr>
        <w:t>Análisis de los criterios de priorización de las instituciones</w:t>
      </w:r>
    </w:p>
    <w:p w14:paraId="483561EF" w14:textId="77777777" w:rsidR="009C4FB4" w:rsidRPr="009C4FB4" w:rsidRDefault="009C4FB4" w:rsidP="009C4FB4">
      <w:pPr>
        <w:pStyle w:val="Prrafodelista"/>
        <w:numPr>
          <w:ilvl w:val="0"/>
          <w:numId w:val="15"/>
        </w:numPr>
        <w:spacing w:after="0" w:line="360" w:lineRule="auto"/>
        <w:ind w:right="57"/>
        <w:jc w:val="both"/>
        <w:rPr>
          <w:rFonts w:ascii="Arial" w:hAnsi="Arial" w:cs="Arial"/>
          <w:sz w:val="24"/>
          <w:szCs w:val="24"/>
        </w:rPr>
      </w:pPr>
      <w:r w:rsidRPr="009C4FB4">
        <w:rPr>
          <w:rFonts w:ascii="Arial" w:hAnsi="Arial" w:cs="Arial"/>
          <w:sz w:val="24"/>
          <w:szCs w:val="24"/>
        </w:rPr>
        <w:t>Listado de Instituciones de salud habilitadas para prestar atención a personas con VIH.</w:t>
      </w:r>
    </w:p>
    <w:p w14:paraId="2FEF26E9" w14:textId="77777777" w:rsidR="009C4FB4" w:rsidRPr="002D76D9" w:rsidRDefault="009C4FB4" w:rsidP="00372EE7">
      <w:pPr>
        <w:spacing w:after="0" w:line="360" w:lineRule="auto"/>
        <w:ind w:right="57"/>
        <w:jc w:val="both"/>
        <w:rPr>
          <w:rFonts w:ascii="Arial" w:hAnsi="Arial" w:cs="Arial"/>
          <w:sz w:val="24"/>
          <w:szCs w:val="24"/>
        </w:rPr>
      </w:pPr>
    </w:p>
    <w:p w14:paraId="1EF42A41" w14:textId="57450837" w:rsidR="009C4FB4" w:rsidRPr="002D76D9" w:rsidRDefault="009C4FB4" w:rsidP="00372EE7">
      <w:pPr>
        <w:spacing w:after="0" w:line="360" w:lineRule="auto"/>
        <w:ind w:right="57"/>
        <w:jc w:val="both"/>
        <w:rPr>
          <w:rFonts w:ascii="Arial" w:hAnsi="Arial" w:cs="Arial"/>
          <w:sz w:val="24"/>
          <w:szCs w:val="24"/>
        </w:rPr>
      </w:pPr>
      <w:r w:rsidRPr="002D76D9">
        <w:rPr>
          <w:rFonts w:ascii="Arial" w:hAnsi="Arial" w:cs="Arial"/>
          <w:sz w:val="24"/>
          <w:szCs w:val="24"/>
        </w:rPr>
        <w:t xml:space="preserve">En la ciudad de Cali se cuentan con </w:t>
      </w:r>
      <w:r w:rsidR="002D76D9" w:rsidRPr="002D76D9">
        <w:rPr>
          <w:rFonts w:ascii="Arial" w:hAnsi="Arial" w:cs="Arial"/>
          <w:sz w:val="24"/>
          <w:szCs w:val="24"/>
        </w:rPr>
        <w:t>9 IPS de atención complementaria para personas con VIH que realizan la cobertura para EAPB del régimen Contributivo, Subsidiado y Especial</w:t>
      </w:r>
      <w:r w:rsidR="002D76D9">
        <w:rPr>
          <w:rFonts w:ascii="Arial" w:hAnsi="Arial" w:cs="Arial"/>
          <w:sz w:val="24"/>
          <w:szCs w:val="24"/>
        </w:rPr>
        <w:t xml:space="preserve"> para los residentes de Cali y otros municipios del Valle del Cauca</w:t>
      </w:r>
      <w:r w:rsidR="004F2E31">
        <w:rPr>
          <w:rFonts w:ascii="Arial" w:hAnsi="Arial" w:cs="Arial"/>
          <w:sz w:val="24"/>
          <w:szCs w:val="24"/>
        </w:rPr>
        <w:t>, se requiere acompañamiento para la prestación del servicio en articulación con las EAPB.</w:t>
      </w:r>
    </w:p>
    <w:p w14:paraId="00A7D765" w14:textId="77777777" w:rsidR="00372EE7" w:rsidRPr="002D76D9" w:rsidRDefault="00372EE7" w:rsidP="00372EE7">
      <w:pPr>
        <w:pStyle w:val="Prrafodelista"/>
        <w:spacing w:after="0" w:line="360" w:lineRule="auto"/>
        <w:ind w:right="57"/>
        <w:jc w:val="both"/>
        <w:rPr>
          <w:rFonts w:ascii="Arial" w:hAnsi="Arial" w:cs="Arial"/>
          <w:sz w:val="24"/>
          <w:szCs w:val="24"/>
        </w:rPr>
      </w:pPr>
    </w:p>
    <w:p w14:paraId="0D04AE92" w14:textId="77777777" w:rsidR="00372EE7" w:rsidRPr="002D76D9" w:rsidRDefault="00372EE7" w:rsidP="00372EE7">
      <w:pPr>
        <w:pStyle w:val="Prrafodelista"/>
        <w:numPr>
          <w:ilvl w:val="0"/>
          <w:numId w:val="15"/>
        </w:numPr>
        <w:spacing w:after="0" w:line="360" w:lineRule="auto"/>
        <w:ind w:right="57"/>
        <w:jc w:val="both"/>
        <w:rPr>
          <w:rFonts w:ascii="Arial" w:hAnsi="Arial" w:cs="Arial"/>
          <w:sz w:val="24"/>
          <w:szCs w:val="24"/>
        </w:rPr>
      </w:pPr>
      <w:r w:rsidRPr="002D76D9">
        <w:rPr>
          <w:rFonts w:ascii="Arial" w:hAnsi="Arial" w:cs="Arial"/>
          <w:sz w:val="24"/>
          <w:szCs w:val="24"/>
        </w:rPr>
        <w:lastRenderedPageBreak/>
        <w:t>Instituciones IPS, EAPB/ESE, que de acuerdo con el informe consolidado de la vigencia anterior 2024, no se lograron intervenir con el proceso de desarrollo de capacidades.</w:t>
      </w:r>
    </w:p>
    <w:p w14:paraId="11D33248" w14:textId="77777777" w:rsidR="002D76D9" w:rsidRPr="002D76D9" w:rsidRDefault="002D76D9" w:rsidP="00EC0B0E">
      <w:pPr>
        <w:spacing w:after="0" w:line="360" w:lineRule="auto"/>
        <w:ind w:right="57"/>
        <w:jc w:val="both"/>
        <w:rPr>
          <w:rFonts w:ascii="Arial" w:hAnsi="Arial" w:cs="Arial"/>
          <w:sz w:val="24"/>
          <w:szCs w:val="24"/>
        </w:rPr>
      </w:pPr>
    </w:p>
    <w:p w14:paraId="27486B6A" w14:textId="40524871" w:rsidR="002D76D9" w:rsidRDefault="002D76D9" w:rsidP="00EC0B0E">
      <w:pPr>
        <w:spacing w:after="0" w:line="360" w:lineRule="auto"/>
        <w:ind w:right="57"/>
        <w:jc w:val="both"/>
        <w:rPr>
          <w:rFonts w:ascii="Arial" w:hAnsi="Arial" w:cs="Arial"/>
          <w:sz w:val="24"/>
          <w:szCs w:val="24"/>
        </w:rPr>
      </w:pPr>
      <w:r w:rsidRPr="002D76D9">
        <w:rPr>
          <w:rFonts w:ascii="Arial" w:hAnsi="Arial" w:cs="Arial"/>
          <w:sz w:val="24"/>
          <w:szCs w:val="24"/>
        </w:rPr>
        <w:t xml:space="preserve">Debido a situaciones particulares de las EAPB no fue posible reprogramar los espacios cancelados por las entidades. </w:t>
      </w:r>
    </w:p>
    <w:p w14:paraId="2FB1F8AF" w14:textId="599E2A83" w:rsidR="00B42EC9" w:rsidRDefault="00B42EC9" w:rsidP="00EC0B0E">
      <w:pPr>
        <w:spacing w:after="0" w:line="360" w:lineRule="auto"/>
        <w:ind w:right="57"/>
        <w:jc w:val="both"/>
        <w:rPr>
          <w:rFonts w:ascii="Arial" w:hAnsi="Arial" w:cs="Arial"/>
          <w:sz w:val="24"/>
          <w:szCs w:val="24"/>
        </w:rPr>
      </w:pPr>
    </w:p>
    <w:p w14:paraId="43DAEE6A" w14:textId="0B5983FC" w:rsidR="00B42EC9" w:rsidRDefault="00B42EC9" w:rsidP="00B42EC9">
      <w:pPr>
        <w:pStyle w:val="Prrafodelista"/>
        <w:numPr>
          <w:ilvl w:val="0"/>
          <w:numId w:val="15"/>
        </w:numPr>
        <w:spacing w:after="0" w:line="360" w:lineRule="auto"/>
        <w:ind w:right="57"/>
        <w:jc w:val="both"/>
        <w:rPr>
          <w:rFonts w:ascii="Arial" w:hAnsi="Arial" w:cs="Arial"/>
          <w:sz w:val="24"/>
          <w:szCs w:val="24"/>
        </w:rPr>
      </w:pPr>
      <w:r w:rsidRPr="002D76D9">
        <w:rPr>
          <w:rFonts w:ascii="Arial" w:hAnsi="Arial" w:cs="Arial"/>
          <w:sz w:val="24"/>
          <w:szCs w:val="24"/>
        </w:rPr>
        <w:t xml:space="preserve">Instituciones IPS, EAPB/ESE, que de acuerdo con el informe consolidado de la vigencia anterior 2024, </w:t>
      </w:r>
      <w:r>
        <w:rPr>
          <w:rFonts w:ascii="Arial" w:hAnsi="Arial" w:cs="Arial"/>
          <w:sz w:val="24"/>
          <w:szCs w:val="24"/>
        </w:rPr>
        <w:t>presentaron debilidades en la oferta de algunos servicios de salud relacionados con la estrategia de Prevención Combinad</w:t>
      </w:r>
      <w:r w:rsidR="004F2E31">
        <w:rPr>
          <w:rFonts w:ascii="Arial" w:hAnsi="Arial" w:cs="Arial"/>
          <w:sz w:val="24"/>
          <w:szCs w:val="24"/>
        </w:rPr>
        <w:t xml:space="preserve">a </w:t>
      </w:r>
      <w:r>
        <w:rPr>
          <w:rFonts w:ascii="Arial" w:hAnsi="Arial" w:cs="Arial"/>
          <w:sz w:val="24"/>
          <w:szCs w:val="24"/>
        </w:rPr>
        <w:t>para VIH.</w:t>
      </w:r>
    </w:p>
    <w:p w14:paraId="16A866B2" w14:textId="6EE9D6DB" w:rsidR="00B42EC9" w:rsidRPr="00B42EC9" w:rsidRDefault="00B42EC9" w:rsidP="00B42EC9">
      <w:pPr>
        <w:spacing w:after="0" w:line="360" w:lineRule="auto"/>
        <w:ind w:right="57"/>
        <w:jc w:val="both"/>
        <w:rPr>
          <w:rFonts w:ascii="Arial" w:hAnsi="Arial" w:cs="Arial"/>
          <w:sz w:val="24"/>
          <w:szCs w:val="24"/>
        </w:rPr>
      </w:pPr>
      <w:r>
        <w:rPr>
          <w:rFonts w:ascii="Arial" w:hAnsi="Arial" w:cs="Arial"/>
          <w:sz w:val="24"/>
          <w:szCs w:val="24"/>
        </w:rPr>
        <w:t>De acuerdo a los</w:t>
      </w:r>
      <w:r w:rsidR="00357938">
        <w:rPr>
          <w:rFonts w:ascii="Arial" w:hAnsi="Arial" w:cs="Arial"/>
          <w:sz w:val="24"/>
          <w:szCs w:val="24"/>
        </w:rPr>
        <w:t xml:space="preserve"> hallazgos de las asistencias técnicas en las instituciones se observaron falencias en la prestación de servicios relacionados con PEP Programas de PrEP, Tamizajes Estratégicos, educación en salud en Prevención de Infecciones de Transmisión Sexual, </w:t>
      </w:r>
      <w:r w:rsidR="004F2E31">
        <w:rPr>
          <w:rFonts w:ascii="Arial" w:hAnsi="Arial" w:cs="Arial"/>
          <w:sz w:val="24"/>
          <w:szCs w:val="24"/>
        </w:rPr>
        <w:t xml:space="preserve">implementación del sistema de información SISCOSSR. </w:t>
      </w:r>
    </w:p>
    <w:p w14:paraId="01B0745E" w14:textId="696CFA36" w:rsidR="002D76D9" w:rsidRPr="002D76D9" w:rsidRDefault="002D76D9" w:rsidP="00EC0B0E">
      <w:pPr>
        <w:spacing w:after="0" w:line="360" w:lineRule="auto"/>
        <w:ind w:right="57"/>
        <w:jc w:val="both"/>
        <w:rPr>
          <w:rFonts w:ascii="Arial" w:hAnsi="Arial" w:cs="Arial"/>
          <w:sz w:val="24"/>
          <w:szCs w:val="24"/>
        </w:rPr>
      </w:pPr>
    </w:p>
    <w:p w14:paraId="1985A7B6" w14:textId="1C6AB1AF" w:rsidR="00372EE7" w:rsidRDefault="00372EE7" w:rsidP="00372EE7">
      <w:pPr>
        <w:pStyle w:val="Prrafodelista"/>
        <w:numPr>
          <w:ilvl w:val="0"/>
          <w:numId w:val="15"/>
        </w:numPr>
        <w:spacing w:after="0" w:line="360" w:lineRule="auto"/>
        <w:ind w:right="57"/>
        <w:jc w:val="both"/>
        <w:rPr>
          <w:rFonts w:ascii="Arial" w:hAnsi="Arial" w:cs="Arial"/>
          <w:sz w:val="24"/>
          <w:szCs w:val="24"/>
        </w:rPr>
      </w:pPr>
      <w:r w:rsidRPr="00BE2E76">
        <w:rPr>
          <w:rFonts w:ascii="Arial" w:hAnsi="Arial" w:cs="Arial"/>
          <w:sz w:val="24"/>
          <w:szCs w:val="24"/>
        </w:rPr>
        <w:t xml:space="preserve">Resultados de las PQRS, asociadas a la atención de las EAPB en la vigencia anterior. </w:t>
      </w:r>
    </w:p>
    <w:p w14:paraId="0D69AF54" w14:textId="64D3E2EB" w:rsidR="00836BB1" w:rsidRDefault="00AA723A" w:rsidP="00AA723A">
      <w:pPr>
        <w:spacing w:after="0" w:line="360" w:lineRule="auto"/>
        <w:ind w:right="57"/>
        <w:jc w:val="both"/>
        <w:rPr>
          <w:rFonts w:ascii="Arial" w:hAnsi="Arial" w:cs="Arial"/>
          <w:sz w:val="24"/>
          <w:szCs w:val="24"/>
        </w:rPr>
      </w:pPr>
      <w:r>
        <w:rPr>
          <w:rFonts w:ascii="Arial" w:hAnsi="Arial" w:cs="Arial"/>
          <w:sz w:val="24"/>
          <w:szCs w:val="24"/>
        </w:rPr>
        <w:t xml:space="preserve">Se presentaron algunas situaciones </w:t>
      </w:r>
      <w:r w:rsidR="00A503FE">
        <w:rPr>
          <w:rFonts w:ascii="Arial" w:hAnsi="Arial" w:cs="Arial"/>
          <w:sz w:val="24"/>
          <w:szCs w:val="24"/>
        </w:rPr>
        <w:t xml:space="preserve">relacionadas con la prestación de servicios de salud en las IPS Complementarias, debido a situaciones administrativas </w:t>
      </w:r>
      <w:r w:rsidR="00EB72C8">
        <w:rPr>
          <w:rFonts w:ascii="Arial" w:hAnsi="Arial" w:cs="Arial"/>
          <w:sz w:val="24"/>
          <w:szCs w:val="24"/>
        </w:rPr>
        <w:t xml:space="preserve">se afectó la dispensación de los medicamentos a los usuarios, </w:t>
      </w:r>
      <w:r w:rsidR="00836BB1">
        <w:rPr>
          <w:rFonts w:ascii="Arial" w:hAnsi="Arial" w:cs="Arial"/>
          <w:sz w:val="24"/>
          <w:szCs w:val="24"/>
        </w:rPr>
        <w:t>pues las EAPB no garantizaron la oportunidad en la atención y afectaron la adherencia al tratamiento.</w:t>
      </w:r>
    </w:p>
    <w:p w14:paraId="3A3E563D" w14:textId="0E7512AE" w:rsidR="00BE2E76" w:rsidRDefault="00BE2E76" w:rsidP="00BE2E76">
      <w:pPr>
        <w:spacing w:after="0" w:line="360" w:lineRule="auto"/>
        <w:ind w:right="57"/>
        <w:jc w:val="both"/>
        <w:rPr>
          <w:rFonts w:ascii="Arial" w:hAnsi="Arial" w:cs="Arial"/>
          <w:sz w:val="24"/>
          <w:szCs w:val="24"/>
        </w:rPr>
      </w:pPr>
    </w:p>
    <w:p w14:paraId="2FF5EED0" w14:textId="77777777" w:rsidR="00836BB1" w:rsidRDefault="00836BB1" w:rsidP="00836BB1">
      <w:pPr>
        <w:pStyle w:val="Prrafodelista"/>
        <w:numPr>
          <w:ilvl w:val="0"/>
          <w:numId w:val="15"/>
        </w:numPr>
        <w:rPr>
          <w:rFonts w:ascii="Arial" w:hAnsi="Arial" w:cs="Arial"/>
          <w:sz w:val="24"/>
          <w:szCs w:val="24"/>
        </w:rPr>
      </w:pPr>
      <w:r>
        <w:rPr>
          <w:rFonts w:ascii="Arial" w:hAnsi="Arial" w:cs="Arial"/>
          <w:sz w:val="24"/>
          <w:szCs w:val="24"/>
        </w:rPr>
        <w:t xml:space="preserve">La información </w:t>
      </w:r>
      <w:r w:rsidRPr="001D38CC">
        <w:rPr>
          <w:rFonts w:ascii="Arial" w:hAnsi="Arial" w:cs="Arial"/>
          <w:sz w:val="24"/>
          <w:szCs w:val="24"/>
        </w:rPr>
        <w:t>del ASIS distrital; relacionado con los resultados de los indicadores de la incidencia para VIH se encuentran en un 68% más alta en el Distrito que en el departamento.</w:t>
      </w:r>
    </w:p>
    <w:p w14:paraId="08D777CF" w14:textId="77777777" w:rsidR="00836BB1" w:rsidRPr="000454C1" w:rsidRDefault="00836BB1" w:rsidP="000454C1">
      <w:pPr>
        <w:rPr>
          <w:rFonts w:ascii="Arial" w:hAnsi="Arial" w:cs="Arial"/>
          <w:sz w:val="24"/>
          <w:szCs w:val="24"/>
        </w:rPr>
      </w:pPr>
      <w:r w:rsidRPr="000454C1">
        <w:rPr>
          <w:rFonts w:ascii="Arial" w:hAnsi="Arial" w:cs="Arial"/>
          <w:sz w:val="24"/>
          <w:szCs w:val="24"/>
        </w:rPr>
        <w:t xml:space="preserve">La cobertura para el tratamiento antirretroviral se encuentra en el 86.68% </w:t>
      </w:r>
    </w:p>
    <w:p w14:paraId="4D1BF64C" w14:textId="112EF771" w:rsidR="00836BB1" w:rsidRPr="000454C1" w:rsidRDefault="00836BB1" w:rsidP="000454C1">
      <w:pPr>
        <w:rPr>
          <w:rFonts w:ascii="Arial" w:hAnsi="Arial" w:cs="Arial"/>
          <w:sz w:val="24"/>
          <w:szCs w:val="24"/>
        </w:rPr>
      </w:pPr>
      <w:r w:rsidRPr="000454C1">
        <w:rPr>
          <w:rFonts w:ascii="Arial" w:hAnsi="Arial" w:cs="Arial"/>
          <w:sz w:val="24"/>
          <w:szCs w:val="24"/>
        </w:rPr>
        <w:t>Cobertura de TAR en PVV 15-49 años X 100 =84.30%, no cumpliendo el indicador de la Estrategia 95-95-95.</w:t>
      </w:r>
    </w:p>
    <w:p w14:paraId="175D4E28" w14:textId="0718F2BC" w:rsidR="000454C1" w:rsidRPr="001D3F4D" w:rsidRDefault="000454C1" w:rsidP="000454C1">
      <w:pPr>
        <w:pStyle w:val="Prrafodelista"/>
        <w:numPr>
          <w:ilvl w:val="0"/>
          <w:numId w:val="19"/>
        </w:numPr>
        <w:rPr>
          <w:rFonts w:ascii="Arial" w:hAnsi="Arial" w:cs="Arial"/>
          <w:sz w:val="24"/>
          <w:szCs w:val="24"/>
        </w:rPr>
      </w:pPr>
      <w:r>
        <w:rPr>
          <w:rFonts w:ascii="Arial" w:hAnsi="Arial" w:cs="Arial"/>
          <w:sz w:val="24"/>
          <w:szCs w:val="24"/>
        </w:rPr>
        <w:t>Instituciones con más de 200 casos de abandono al tratamiento antirretroviral.</w:t>
      </w:r>
    </w:p>
    <w:p w14:paraId="78B3BE1F" w14:textId="2F407BA6" w:rsidR="000454C1" w:rsidRPr="000454C1" w:rsidRDefault="000454C1" w:rsidP="000454C1">
      <w:pPr>
        <w:rPr>
          <w:rFonts w:ascii="Arial" w:hAnsi="Arial" w:cs="Arial"/>
          <w:sz w:val="24"/>
          <w:szCs w:val="24"/>
        </w:rPr>
      </w:pPr>
      <w:r>
        <w:rPr>
          <w:rFonts w:ascii="Arial" w:hAnsi="Arial" w:cs="Arial"/>
          <w:sz w:val="24"/>
          <w:szCs w:val="24"/>
        </w:rPr>
        <w:lastRenderedPageBreak/>
        <w:t xml:space="preserve">Se requiere acompañamiento desde la entidad territorial y </w:t>
      </w:r>
      <w:r w:rsidR="008B1102">
        <w:rPr>
          <w:rFonts w:ascii="Arial" w:hAnsi="Arial" w:cs="Arial"/>
          <w:sz w:val="24"/>
          <w:szCs w:val="24"/>
        </w:rPr>
        <w:t>otros actores</w:t>
      </w:r>
      <w:r>
        <w:rPr>
          <w:rFonts w:ascii="Arial" w:hAnsi="Arial" w:cs="Arial"/>
          <w:sz w:val="24"/>
          <w:szCs w:val="24"/>
        </w:rPr>
        <w:t xml:space="preserve"> para la búsqueda y captación de los usuarios en abandono al tratamiento antirretroviral.</w:t>
      </w:r>
    </w:p>
    <w:p w14:paraId="3C5A5795" w14:textId="70DEB5B5" w:rsidR="00BE2E76" w:rsidRDefault="00BE2E76" w:rsidP="00BE2E76">
      <w:pPr>
        <w:spacing w:after="0" w:line="360" w:lineRule="auto"/>
        <w:ind w:right="57"/>
        <w:jc w:val="both"/>
        <w:rPr>
          <w:rFonts w:ascii="Arial" w:hAnsi="Arial" w:cs="Arial"/>
          <w:sz w:val="24"/>
          <w:szCs w:val="24"/>
        </w:rPr>
      </w:pPr>
    </w:p>
    <w:p w14:paraId="485EF5F7" w14:textId="63C89E97" w:rsidR="00D32554" w:rsidRPr="000858F8" w:rsidRDefault="00D32554" w:rsidP="000858F8">
      <w:pPr>
        <w:pStyle w:val="Prrafodelista"/>
        <w:numPr>
          <w:ilvl w:val="0"/>
          <w:numId w:val="10"/>
        </w:numPr>
        <w:spacing w:after="0" w:line="360" w:lineRule="auto"/>
        <w:ind w:right="57"/>
        <w:jc w:val="both"/>
        <w:rPr>
          <w:rFonts w:ascii="Arial" w:hAnsi="Arial" w:cs="Arial"/>
          <w:b/>
          <w:bCs/>
          <w:sz w:val="24"/>
          <w:szCs w:val="24"/>
        </w:rPr>
      </w:pPr>
      <w:r w:rsidRPr="000858F8">
        <w:rPr>
          <w:rFonts w:ascii="Arial" w:hAnsi="Arial" w:cs="Arial"/>
          <w:b/>
          <w:bCs/>
          <w:sz w:val="24"/>
          <w:szCs w:val="24"/>
        </w:rPr>
        <w:t xml:space="preserve">Lista de </w:t>
      </w:r>
      <w:r w:rsidR="005D4838">
        <w:rPr>
          <w:rFonts w:ascii="Arial" w:hAnsi="Arial" w:cs="Arial"/>
          <w:b/>
          <w:bCs/>
          <w:sz w:val="24"/>
          <w:szCs w:val="24"/>
        </w:rPr>
        <w:t>instituciones</w:t>
      </w:r>
      <w:r w:rsidR="005D4838" w:rsidRPr="000858F8">
        <w:rPr>
          <w:rFonts w:ascii="Arial" w:hAnsi="Arial" w:cs="Arial"/>
          <w:b/>
          <w:bCs/>
          <w:sz w:val="24"/>
          <w:szCs w:val="24"/>
        </w:rPr>
        <w:t xml:space="preserve"> priorizadas</w:t>
      </w:r>
      <w:r w:rsidR="00903D92" w:rsidRPr="000858F8">
        <w:rPr>
          <w:rFonts w:ascii="Arial" w:hAnsi="Arial" w:cs="Arial"/>
          <w:b/>
          <w:bCs/>
          <w:sz w:val="24"/>
          <w:szCs w:val="24"/>
        </w:rPr>
        <w:t xml:space="preserve"> para la vigencia</w:t>
      </w:r>
      <w:r w:rsidRPr="000858F8">
        <w:rPr>
          <w:rFonts w:ascii="Arial" w:hAnsi="Arial" w:cs="Arial"/>
          <w:b/>
          <w:bCs/>
          <w:sz w:val="24"/>
          <w:szCs w:val="24"/>
        </w:rPr>
        <w:t>:</w:t>
      </w:r>
    </w:p>
    <w:p w14:paraId="0EB8A264" w14:textId="5370E635" w:rsidR="000C5D61" w:rsidRDefault="00335708" w:rsidP="00372EE7">
      <w:pPr>
        <w:spacing w:after="0" w:line="360" w:lineRule="auto"/>
        <w:ind w:right="57"/>
        <w:jc w:val="both"/>
        <w:rPr>
          <w:rFonts w:ascii="Arial" w:hAnsi="Arial" w:cs="Arial"/>
          <w:sz w:val="24"/>
          <w:szCs w:val="24"/>
        </w:rPr>
      </w:pPr>
      <w:r w:rsidRPr="00F86BF3">
        <w:rPr>
          <w:rFonts w:ascii="Arial" w:hAnsi="Arial" w:cs="Arial"/>
          <w:sz w:val="24"/>
          <w:szCs w:val="24"/>
        </w:rPr>
        <w:t xml:space="preserve">A </w:t>
      </w:r>
      <w:r w:rsidR="00164422" w:rsidRPr="00F86BF3">
        <w:rPr>
          <w:rFonts w:ascii="Arial" w:hAnsi="Arial" w:cs="Arial"/>
          <w:sz w:val="24"/>
          <w:szCs w:val="24"/>
        </w:rPr>
        <w:t>continuación,</w:t>
      </w:r>
      <w:r w:rsidR="00811A49" w:rsidRPr="00F86BF3">
        <w:rPr>
          <w:rFonts w:ascii="Arial" w:hAnsi="Arial" w:cs="Arial"/>
          <w:sz w:val="24"/>
          <w:szCs w:val="24"/>
        </w:rPr>
        <w:t xml:space="preserve"> se </w:t>
      </w:r>
      <w:r w:rsidR="005D4838" w:rsidRPr="00F86BF3">
        <w:rPr>
          <w:rFonts w:ascii="Arial" w:hAnsi="Arial" w:cs="Arial"/>
          <w:sz w:val="24"/>
          <w:szCs w:val="24"/>
        </w:rPr>
        <w:t>listan las</w:t>
      </w:r>
      <w:r w:rsidRPr="00F86BF3">
        <w:rPr>
          <w:rFonts w:ascii="Arial" w:hAnsi="Arial" w:cs="Arial"/>
          <w:sz w:val="24"/>
          <w:szCs w:val="24"/>
        </w:rPr>
        <w:t xml:space="preserve"> </w:t>
      </w:r>
      <w:r w:rsidR="00554490">
        <w:rPr>
          <w:rFonts w:ascii="Arial" w:hAnsi="Arial" w:cs="Arial"/>
          <w:sz w:val="24"/>
          <w:szCs w:val="24"/>
        </w:rPr>
        <w:t>instituciones</w:t>
      </w:r>
      <w:r w:rsidR="00251197" w:rsidRPr="00F86BF3">
        <w:rPr>
          <w:rFonts w:ascii="Arial" w:hAnsi="Arial" w:cs="Arial"/>
          <w:sz w:val="24"/>
          <w:szCs w:val="24"/>
        </w:rPr>
        <w:t xml:space="preserve">, </w:t>
      </w:r>
      <w:r w:rsidR="00251197">
        <w:rPr>
          <w:rFonts w:ascii="Arial" w:hAnsi="Arial" w:cs="Arial"/>
          <w:sz w:val="24"/>
          <w:szCs w:val="24"/>
        </w:rPr>
        <w:t xml:space="preserve">a incluir en </w:t>
      </w:r>
      <w:r w:rsidR="005D4838">
        <w:rPr>
          <w:rFonts w:ascii="Arial" w:hAnsi="Arial" w:cs="Arial"/>
          <w:sz w:val="24"/>
          <w:szCs w:val="24"/>
        </w:rPr>
        <w:t xml:space="preserve">el </w:t>
      </w:r>
      <w:r w:rsidR="005D4838" w:rsidRPr="00F86BF3">
        <w:rPr>
          <w:rFonts w:ascii="Arial" w:hAnsi="Arial" w:cs="Arial"/>
          <w:sz w:val="24"/>
          <w:szCs w:val="24"/>
        </w:rPr>
        <w:t>cronograma</w:t>
      </w:r>
      <w:r w:rsidR="00811A49" w:rsidRPr="00F86BF3">
        <w:rPr>
          <w:rFonts w:ascii="Arial" w:hAnsi="Arial" w:cs="Arial"/>
          <w:sz w:val="24"/>
          <w:szCs w:val="24"/>
        </w:rPr>
        <w:t xml:space="preserve"> del plan de desarrollo de capacidades </w:t>
      </w:r>
      <w:r w:rsidR="00554490">
        <w:rPr>
          <w:rFonts w:ascii="Arial" w:hAnsi="Arial" w:cs="Arial"/>
          <w:sz w:val="24"/>
          <w:szCs w:val="24"/>
        </w:rPr>
        <w:t xml:space="preserve">en salud pública </w:t>
      </w:r>
      <w:r w:rsidR="00811A49" w:rsidRPr="00F86BF3">
        <w:rPr>
          <w:rFonts w:ascii="Arial" w:hAnsi="Arial" w:cs="Arial"/>
          <w:sz w:val="24"/>
          <w:szCs w:val="24"/>
        </w:rPr>
        <w:t xml:space="preserve">del entorno </w:t>
      </w:r>
      <w:r w:rsidR="008B1102" w:rsidRPr="00F86BF3">
        <w:rPr>
          <w:rFonts w:ascii="Arial" w:hAnsi="Arial" w:cs="Arial"/>
          <w:sz w:val="24"/>
          <w:szCs w:val="24"/>
        </w:rPr>
        <w:t>institucional</w:t>
      </w:r>
      <w:r w:rsidR="008B1102">
        <w:rPr>
          <w:rFonts w:ascii="Arial" w:hAnsi="Arial" w:cs="Arial"/>
          <w:sz w:val="24"/>
          <w:szCs w:val="24"/>
        </w:rPr>
        <w:t xml:space="preserve"> vigencia</w:t>
      </w:r>
      <w:r w:rsidR="00811A49" w:rsidRPr="00F86BF3">
        <w:rPr>
          <w:rFonts w:ascii="Arial" w:hAnsi="Arial" w:cs="Arial"/>
          <w:sz w:val="24"/>
          <w:szCs w:val="24"/>
        </w:rPr>
        <w:t xml:space="preserve"> 2025</w:t>
      </w:r>
      <w:r w:rsidRPr="00F86BF3">
        <w:rPr>
          <w:rFonts w:ascii="Arial" w:hAnsi="Arial" w:cs="Arial"/>
          <w:sz w:val="24"/>
          <w:szCs w:val="24"/>
        </w:rPr>
        <w:t xml:space="preserve">. </w:t>
      </w:r>
    </w:p>
    <w:p w14:paraId="11A42C92" w14:textId="77777777" w:rsidR="008A6988" w:rsidRDefault="008A6988" w:rsidP="00372EE7">
      <w:pPr>
        <w:spacing w:after="0" w:line="360" w:lineRule="auto"/>
        <w:ind w:right="57"/>
        <w:jc w:val="both"/>
        <w:rPr>
          <w:rFonts w:ascii="Arial" w:hAnsi="Arial" w:cs="Arial"/>
          <w:sz w:val="24"/>
          <w:szCs w:val="24"/>
        </w:rPr>
      </w:pPr>
    </w:p>
    <w:p w14:paraId="7B21E896" w14:textId="2BA8BAD4" w:rsidR="008A6988" w:rsidRPr="00414D2B" w:rsidRDefault="008A6988" w:rsidP="00372EE7">
      <w:pPr>
        <w:spacing w:after="0" w:line="360" w:lineRule="auto"/>
        <w:ind w:right="57"/>
        <w:jc w:val="both"/>
        <w:rPr>
          <w:color w:val="FF0000"/>
        </w:rPr>
      </w:pPr>
      <w:r>
        <w:rPr>
          <w:rFonts w:ascii="Arial" w:hAnsi="Arial" w:cs="Arial"/>
          <w:sz w:val="24"/>
          <w:szCs w:val="24"/>
        </w:rPr>
        <w:t>Anexo: 1. Excel, listado de instituciones priorizadas</w:t>
      </w:r>
    </w:p>
    <w:sectPr w:rsidR="008A6988" w:rsidRPr="00414D2B" w:rsidSect="00A35BFC">
      <w:pgSz w:w="12240" w:h="15840"/>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D4B"/>
    <w:multiLevelType w:val="multilevel"/>
    <w:tmpl w:val="619621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6C8593D"/>
    <w:multiLevelType w:val="hybridMultilevel"/>
    <w:tmpl w:val="73C24386"/>
    <w:lvl w:ilvl="0" w:tplc="D0E443E0">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475D68"/>
    <w:multiLevelType w:val="multilevel"/>
    <w:tmpl w:val="F99C8A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661455"/>
    <w:multiLevelType w:val="hybridMultilevel"/>
    <w:tmpl w:val="5858940A"/>
    <w:lvl w:ilvl="0" w:tplc="CF86E330">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09936AD"/>
    <w:multiLevelType w:val="multilevel"/>
    <w:tmpl w:val="69A425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30F1F67"/>
    <w:multiLevelType w:val="hybridMultilevel"/>
    <w:tmpl w:val="D1CE44F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5B66AE6"/>
    <w:multiLevelType w:val="hybridMultilevel"/>
    <w:tmpl w:val="1AFCB690"/>
    <w:lvl w:ilvl="0" w:tplc="5BE621F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AE4263E"/>
    <w:multiLevelType w:val="hybridMultilevel"/>
    <w:tmpl w:val="C5B65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EA35BB3"/>
    <w:multiLevelType w:val="hybridMultilevel"/>
    <w:tmpl w:val="7CFA1A1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023C82"/>
    <w:multiLevelType w:val="hybridMultilevel"/>
    <w:tmpl w:val="A796C8E2"/>
    <w:lvl w:ilvl="0" w:tplc="9C7236FA">
      <w:start w:val="1"/>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5CF59E6"/>
    <w:multiLevelType w:val="hybridMultilevel"/>
    <w:tmpl w:val="A288C866"/>
    <w:lvl w:ilvl="0" w:tplc="7B5A8B5A">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C581B61"/>
    <w:multiLevelType w:val="hybridMultilevel"/>
    <w:tmpl w:val="B46C19DC"/>
    <w:lvl w:ilvl="0" w:tplc="002009BC">
      <w:numFmt w:val="bullet"/>
      <w:lvlText w:val="-"/>
      <w:lvlJc w:val="left"/>
      <w:pPr>
        <w:ind w:left="720" w:hanging="360"/>
      </w:pPr>
      <w:rPr>
        <w:rFonts w:ascii="Aptos" w:eastAsiaTheme="minorHAnsi" w:hAnsi="Aptos" w:cstheme="minorBid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F1E098F"/>
    <w:multiLevelType w:val="multilevel"/>
    <w:tmpl w:val="549C509A"/>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F9600C5"/>
    <w:multiLevelType w:val="multilevel"/>
    <w:tmpl w:val="6E985282"/>
    <w:lvl w:ilvl="0">
      <w:start w:val="4"/>
      <w:numFmt w:val="decimal"/>
      <w:lvlText w:val="%1.0"/>
      <w:lvlJc w:val="left"/>
      <w:pPr>
        <w:ind w:left="720" w:hanging="360"/>
      </w:pPr>
      <w:rPr>
        <w:rFonts w:hint="default"/>
        <w:b/>
      </w:rPr>
    </w:lvl>
    <w:lvl w:ilvl="1">
      <w:start w:val="1"/>
      <w:numFmt w:val="decimal"/>
      <w:lvlText w:val="%1.%2"/>
      <w:lvlJc w:val="left"/>
      <w:pPr>
        <w:ind w:left="1428" w:hanging="360"/>
      </w:pPr>
      <w:rPr>
        <w:rFonts w:hint="default"/>
        <w:b/>
      </w:rPr>
    </w:lvl>
    <w:lvl w:ilvl="2">
      <w:start w:val="1"/>
      <w:numFmt w:val="decimal"/>
      <w:lvlText w:val="%1.%2.%3"/>
      <w:lvlJc w:val="left"/>
      <w:pPr>
        <w:ind w:left="2496" w:hanging="720"/>
      </w:pPr>
      <w:rPr>
        <w:rFonts w:hint="default"/>
        <w:b/>
      </w:rPr>
    </w:lvl>
    <w:lvl w:ilvl="3">
      <w:start w:val="1"/>
      <w:numFmt w:val="decimal"/>
      <w:lvlText w:val="%1.%2.%3.%4"/>
      <w:lvlJc w:val="left"/>
      <w:pPr>
        <w:ind w:left="3564" w:hanging="1080"/>
      </w:pPr>
      <w:rPr>
        <w:rFonts w:hint="default"/>
        <w:b/>
      </w:rPr>
    </w:lvl>
    <w:lvl w:ilvl="4">
      <w:start w:val="1"/>
      <w:numFmt w:val="decimal"/>
      <w:lvlText w:val="%1.%2.%3.%4.%5"/>
      <w:lvlJc w:val="left"/>
      <w:pPr>
        <w:ind w:left="4272" w:hanging="1080"/>
      </w:pPr>
      <w:rPr>
        <w:rFonts w:hint="default"/>
        <w:b/>
      </w:rPr>
    </w:lvl>
    <w:lvl w:ilvl="5">
      <w:start w:val="1"/>
      <w:numFmt w:val="decimal"/>
      <w:lvlText w:val="%1.%2.%3.%4.%5.%6"/>
      <w:lvlJc w:val="left"/>
      <w:pPr>
        <w:ind w:left="5340" w:hanging="1440"/>
      </w:pPr>
      <w:rPr>
        <w:rFonts w:hint="default"/>
        <w:b/>
      </w:rPr>
    </w:lvl>
    <w:lvl w:ilvl="6">
      <w:start w:val="1"/>
      <w:numFmt w:val="decimal"/>
      <w:lvlText w:val="%1.%2.%3.%4.%5.%6.%7"/>
      <w:lvlJc w:val="left"/>
      <w:pPr>
        <w:ind w:left="6048" w:hanging="1440"/>
      </w:pPr>
      <w:rPr>
        <w:rFonts w:hint="default"/>
        <w:b/>
      </w:rPr>
    </w:lvl>
    <w:lvl w:ilvl="7">
      <w:start w:val="1"/>
      <w:numFmt w:val="decimal"/>
      <w:lvlText w:val="%1.%2.%3.%4.%5.%6.%7.%8"/>
      <w:lvlJc w:val="left"/>
      <w:pPr>
        <w:ind w:left="7116" w:hanging="1800"/>
      </w:pPr>
      <w:rPr>
        <w:rFonts w:hint="default"/>
        <w:b/>
      </w:rPr>
    </w:lvl>
    <w:lvl w:ilvl="8">
      <w:start w:val="1"/>
      <w:numFmt w:val="decimal"/>
      <w:lvlText w:val="%1.%2.%3.%4.%5.%6.%7.%8.%9"/>
      <w:lvlJc w:val="left"/>
      <w:pPr>
        <w:ind w:left="7824" w:hanging="1800"/>
      </w:pPr>
      <w:rPr>
        <w:rFonts w:hint="default"/>
        <w:b/>
      </w:rPr>
    </w:lvl>
  </w:abstractNum>
  <w:abstractNum w:abstractNumId="14" w15:restartNumberingAfterBreak="0">
    <w:nsid w:val="5C062234"/>
    <w:multiLevelType w:val="hybridMultilevel"/>
    <w:tmpl w:val="3BA0D1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60B7489"/>
    <w:multiLevelType w:val="multilevel"/>
    <w:tmpl w:val="E2E6221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16" w15:restartNumberingAfterBreak="0">
    <w:nsid w:val="68C35CD6"/>
    <w:multiLevelType w:val="hybridMultilevel"/>
    <w:tmpl w:val="DEAE6A30"/>
    <w:lvl w:ilvl="0" w:tplc="CE8A25E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BA36342"/>
    <w:multiLevelType w:val="hybridMultilevel"/>
    <w:tmpl w:val="5BB4780E"/>
    <w:lvl w:ilvl="0" w:tplc="DFB60334">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F7485D"/>
    <w:multiLevelType w:val="hybridMultilevel"/>
    <w:tmpl w:val="D5301CD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16"/>
  </w:num>
  <w:num w:numId="2">
    <w:abstractNumId w:val="17"/>
  </w:num>
  <w:num w:numId="3">
    <w:abstractNumId w:val="8"/>
  </w:num>
  <w:num w:numId="4">
    <w:abstractNumId w:val="9"/>
  </w:num>
  <w:num w:numId="5">
    <w:abstractNumId w:val="11"/>
  </w:num>
  <w:num w:numId="6">
    <w:abstractNumId w:val="2"/>
  </w:num>
  <w:num w:numId="7">
    <w:abstractNumId w:val="14"/>
  </w:num>
  <w:num w:numId="8">
    <w:abstractNumId w:val="0"/>
  </w:num>
  <w:num w:numId="9">
    <w:abstractNumId w:val="4"/>
  </w:num>
  <w:num w:numId="10">
    <w:abstractNumId w:val="12"/>
  </w:num>
  <w:num w:numId="11">
    <w:abstractNumId w:val="1"/>
  </w:num>
  <w:num w:numId="12">
    <w:abstractNumId w:val="10"/>
  </w:num>
  <w:num w:numId="13">
    <w:abstractNumId w:val="15"/>
  </w:num>
  <w:num w:numId="14">
    <w:abstractNumId w:val="13"/>
  </w:num>
  <w:num w:numId="15">
    <w:abstractNumId w:val="6"/>
  </w:num>
  <w:num w:numId="16">
    <w:abstractNumId w:val="3"/>
  </w:num>
  <w:num w:numId="17">
    <w:abstractNumId w:val="5"/>
  </w:num>
  <w:num w:numId="18">
    <w:abstractNumId w:val="1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2A8"/>
    <w:rsid w:val="00034567"/>
    <w:rsid w:val="0003544E"/>
    <w:rsid w:val="00042802"/>
    <w:rsid w:val="000454C1"/>
    <w:rsid w:val="000858F8"/>
    <w:rsid w:val="000931C6"/>
    <w:rsid w:val="000A5405"/>
    <w:rsid w:val="000A5591"/>
    <w:rsid w:val="000A7C77"/>
    <w:rsid w:val="000B4780"/>
    <w:rsid w:val="000C5D61"/>
    <w:rsid w:val="000D0980"/>
    <w:rsid w:val="000D0C85"/>
    <w:rsid w:val="000F329D"/>
    <w:rsid w:val="000F56AE"/>
    <w:rsid w:val="00123524"/>
    <w:rsid w:val="0014378E"/>
    <w:rsid w:val="00156771"/>
    <w:rsid w:val="001620E5"/>
    <w:rsid w:val="00163B2C"/>
    <w:rsid w:val="00164422"/>
    <w:rsid w:val="0017023C"/>
    <w:rsid w:val="0017100E"/>
    <w:rsid w:val="0017104C"/>
    <w:rsid w:val="00180C4B"/>
    <w:rsid w:val="0018289B"/>
    <w:rsid w:val="001952A8"/>
    <w:rsid w:val="001B2821"/>
    <w:rsid w:val="001C5750"/>
    <w:rsid w:val="001D15C2"/>
    <w:rsid w:val="001D38CC"/>
    <w:rsid w:val="001D3F4D"/>
    <w:rsid w:val="001D58F5"/>
    <w:rsid w:val="001D694E"/>
    <w:rsid w:val="001F2DAD"/>
    <w:rsid w:val="001F385A"/>
    <w:rsid w:val="00225C84"/>
    <w:rsid w:val="00227945"/>
    <w:rsid w:val="0023091A"/>
    <w:rsid w:val="00233EA2"/>
    <w:rsid w:val="00237C29"/>
    <w:rsid w:val="00241C52"/>
    <w:rsid w:val="002477D2"/>
    <w:rsid w:val="00247B1A"/>
    <w:rsid w:val="00251197"/>
    <w:rsid w:val="0026009A"/>
    <w:rsid w:val="0026506A"/>
    <w:rsid w:val="0026519B"/>
    <w:rsid w:val="00272DF9"/>
    <w:rsid w:val="0027360B"/>
    <w:rsid w:val="00275C6F"/>
    <w:rsid w:val="00282829"/>
    <w:rsid w:val="00282EB4"/>
    <w:rsid w:val="00284694"/>
    <w:rsid w:val="00295465"/>
    <w:rsid w:val="002A3089"/>
    <w:rsid w:val="002B64E4"/>
    <w:rsid w:val="002D61F2"/>
    <w:rsid w:val="002D76D9"/>
    <w:rsid w:val="002E0699"/>
    <w:rsid w:val="00301509"/>
    <w:rsid w:val="00307069"/>
    <w:rsid w:val="00321815"/>
    <w:rsid w:val="00324FB6"/>
    <w:rsid w:val="00335708"/>
    <w:rsid w:val="003503C2"/>
    <w:rsid w:val="00350F4D"/>
    <w:rsid w:val="00354F14"/>
    <w:rsid w:val="00357938"/>
    <w:rsid w:val="00365571"/>
    <w:rsid w:val="00372EE7"/>
    <w:rsid w:val="00395BAA"/>
    <w:rsid w:val="003A06F7"/>
    <w:rsid w:val="003C069B"/>
    <w:rsid w:val="003C448D"/>
    <w:rsid w:val="003E4407"/>
    <w:rsid w:val="003E50A6"/>
    <w:rsid w:val="003F6396"/>
    <w:rsid w:val="003F66AB"/>
    <w:rsid w:val="00414D2B"/>
    <w:rsid w:val="004257F8"/>
    <w:rsid w:val="0043160D"/>
    <w:rsid w:val="00434DD0"/>
    <w:rsid w:val="00443BFE"/>
    <w:rsid w:val="004574A3"/>
    <w:rsid w:val="00464BAD"/>
    <w:rsid w:val="00471ECF"/>
    <w:rsid w:val="00472A40"/>
    <w:rsid w:val="00496218"/>
    <w:rsid w:val="004B269F"/>
    <w:rsid w:val="004E0A98"/>
    <w:rsid w:val="004E1A5D"/>
    <w:rsid w:val="004F2E31"/>
    <w:rsid w:val="00503249"/>
    <w:rsid w:val="00507BA9"/>
    <w:rsid w:val="00513AC2"/>
    <w:rsid w:val="00526604"/>
    <w:rsid w:val="0053041A"/>
    <w:rsid w:val="005361DB"/>
    <w:rsid w:val="00537B7F"/>
    <w:rsid w:val="00554490"/>
    <w:rsid w:val="00572E39"/>
    <w:rsid w:val="00580A16"/>
    <w:rsid w:val="00585DDD"/>
    <w:rsid w:val="00595C48"/>
    <w:rsid w:val="00595CA5"/>
    <w:rsid w:val="00597EF6"/>
    <w:rsid w:val="005C2B33"/>
    <w:rsid w:val="005C57BF"/>
    <w:rsid w:val="005D2B92"/>
    <w:rsid w:val="005D4838"/>
    <w:rsid w:val="005D6054"/>
    <w:rsid w:val="005E4984"/>
    <w:rsid w:val="005E5922"/>
    <w:rsid w:val="00606A20"/>
    <w:rsid w:val="00606F79"/>
    <w:rsid w:val="006339D9"/>
    <w:rsid w:val="00643930"/>
    <w:rsid w:val="00644556"/>
    <w:rsid w:val="00647CE3"/>
    <w:rsid w:val="0065638D"/>
    <w:rsid w:val="00660655"/>
    <w:rsid w:val="00673F0A"/>
    <w:rsid w:val="00682F2E"/>
    <w:rsid w:val="00695BDF"/>
    <w:rsid w:val="006A7890"/>
    <w:rsid w:val="006B3590"/>
    <w:rsid w:val="006C192C"/>
    <w:rsid w:val="006E0B89"/>
    <w:rsid w:val="006F104C"/>
    <w:rsid w:val="006F5300"/>
    <w:rsid w:val="006F747A"/>
    <w:rsid w:val="0070390C"/>
    <w:rsid w:val="00726FB6"/>
    <w:rsid w:val="0072764E"/>
    <w:rsid w:val="0073084B"/>
    <w:rsid w:val="00755B3A"/>
    <w:rsid w:val="00757193"/>
    <w:rsid w:val="007632C7"/>
    <w:rsid w:val="00763F92"/>
    <w:rsid w:val="007833C2"/>
    <w:rsid w:val="00785F53"/>
    <w:rsid w:val="00786434"/>
    <w:rsid w:val="0079139E"/>
    <w:rsid w:val="00797095"/>
    <w:rsid w:val="007B26F7"/>
    <w:rsid w:val="007B6413"/>
    <w:rsid w:val="007D4411"/>
    <w:rsid w:val="007D6077"/>
    <w:rsid w:val="007D67B1"/>
    <w:rsid w:val="008076CA"/>
    <w:rsid w:val="008079E3"/>
    <w:rsid w:val="00811A49"/>
    <w:rsid w:val="008159BA"/>
    <w:rsid w:val="00817DE3"/>
    <w:rsid w:val="00830BEE"/>
    <w:rsid w:val="00836BB1"/>
    <w:rsid w:val="008377C9"/>
    <w:rsid w:val="00840B9B"/>
    <w:rsid w:val="00846F4D"/>
    <w:rsid w:val="00850FFF"/>
    <w:rsid w:val="008672C9"/>
    <w:rsid w:val="0086751A"/>
    <w:rsid w:val="00873B2A"/>
    <w:rsid w:val="008A224D"/>
    <w:rsid w:val="008A6146"/>
    <w:rsid w:val="008A6988"/>
    <w:rsid w:val="008B1102"/>
    <w:rsid w:val="008D214D"/>
    <w:rsid w:val="008D6522"/>
    <w:rsid w:val="008E1979"/>
    <w:rsid w:val="008E4454"/>
    <w:rsid w:val="008E7EF5"/>
    <w:rsid w:val="008F375C"/>
    <w:rsid w:val="008F6825"/>
    <w:rsid w:val="00903D92"/>
    <w:rsid w:val="00906440"/>
    <w:rsid w:val="009241D7"/>
    <w:rsid w:val="00961E91"/>
    <w:rsid w:val="00993CEA"/>
    <w:rsid w:val="009A6873"/>
    <w:rsid w:val="009B277D"/>
    <w:rsid w:val="009C4FB4"/>
    <w:rsid w:val="009C6574"/>
    <w:rsid w:val="009D3646"/>
    <w:rsid w:val="009E1E55"/>
    <w:rsid w:val="009E6A6E"/>
    <w:rsid w:val="009F5F4E"/>
    <w:rsid w:val="00A01681"/>
    <w:rsid w:val="00A221A9"/>
    <w:rsid w:val="00A35BFC"/>
    <w:rsid w:val="00A36DD9"/>
    <w:rsid w:val="00A37091"/>
    <w:rsid w:val="00A43356"/>
    <w:rsid w:val="00A503FE"/>
    <w:rsid w:val="00A53AF4"/>
    <w:rsid w:val="00A55644"/>
    <w:rsid w:val="00A55873"/>
    <w:rsid w:val="00A56C01"/>
    <w:rsid w:val="00A57654"/>
    <w:rsid w:val="00A6655B"/>
    <w:rsid w:val="00A73BEC"/>
    <w:rsid w:val="00A82BA7"/>
    <w:rsid w:val="00AA3BA0"/>
    <w:rsid w:val="00AA3F5A"/>
    <w:rsid w:val="00AA723A"/>
    <w:rsid w:val="00AB0952"/>
    <w:rsid w:val="00AB1CCC"/>
    <w:rsid w:val="00AB2DA3"/>
    <w:rsid w:val="00AC3DD6"/>
    <w:rsid w:val="00AD42E4"/>
    <w:rsid w:val="00AE59F6"/>
    <w:rsid w:val="00AE6DB4"/>
    <w:rsid w:val="00AF56A1"/>
    <w:rsid w:val="00B05A31"/>
    <w:rsid w:val="00B1216A"/>
    <w:rsid w:val="00B24542"/>
    <w:rsid w:val="00B33052"/>
    <w:rsid w:val="00B42EC9"/>
    <w:rsid w:val="00B43636"/>
    <w:rsid w:val="00B519F4"/>
    <w:rsid w:val="00B5342D"/>
    <w:rsid w:val="00B549E6"/>
    <w:rsid w:val="00B7517C"/>
    <w:rsid w:val="00B81ACE"/>
    <w:rsid w:val="00B84CED"/>
    <w:rsid w:val="00BA3E02"/>
    <w:rsid w:val="00BE2E76"/>
    <w:rsid w:val="00BF1896"/>
    <w:rsid w:val="00BF1A86"/>
    <w:rsid w:val="00C21574"/>
    <w:rsid w:val="00C27B70"/>
    <w:rsid w:val="00C40000"/>
    <w:rsid w:val="00C45DE6"/>
    <w:rsid w:val="00C6205B"/>
    <w:rsid w:val="00C62145"/>
    <w:rsid w:val="00C71BB9"/>
    <w:rsid w:val="00C72B14"/>
    <w:rsid w:val="00C737A7"/>
    <w:rsid w:val="00C764D8"/>
    <w:rsid w:val="00C84EE9"/>
    <w:rsid w:val="00CC229B"/>
    <w:rsid w:val="00CD71A9"/>
    <w:rsid w:val="00CD7DD9"/>
    <w:rsid w:val="00D06CF9"/>
    <w:rsid w:val="00D07798"/>
    <w:rsid w:val="00D16869"/>
    <w:rsid w:val="00D2049E"/>
    <w:rsid w:val="00D32554"/>
    <w:rsid w:val="00D33452"/>
    <w:rsid w:val="00D856D7"/>
    <w:rsid w:val="00DB3377"/>
    <w:rsid w:val="00DB355F"/>
    <w:rsid w:val="00DD786E"/>
    <w:rsid w:val="00DE1448"/>
    <w:rsid w:val="00DE6D40"/>
    <w:rsid w:val="00DF00BF"/>
    <w:rsid w:val="00DF4C4A"/>
    <w:rsid w:val="00E00C6D"/>
    <w:rsid w:val="00E041F9"/>
    <w:rsid w:val="00E1426B"/>
    <w:rsid w:val="00E158FE"/>
    <w:rsid w:val="00E268EE"/>
    <w:rsid w:val="00E37ED7"/>
    <w:rsid w:val="00E55DA8"/>
    <w:rsid w:val="00EA3E0A"/>
    <w:rsid w:val="00EA5932"/>
    <w:rsid w:val="00EB72C8"/>
    <w:rsid w:val="00EC09EE"/>
    <w:rsid w:val="00EC0B0E"/>
    <w:rsid w:val="00EC402D"/>
    <w:rsid w:val="00EC6161"/>
    <w:rsid w:val="00ED3B46"/>
    <w:rsid w:val="00F11729"/>
    <w:rsid w:val="00F14DE4"/>
    <w:rsid w:val="00F54877"/>
    <w:rsid w:val="00F81CE8"/>
    <w:rsid w:val="00F86994"/>
    <w:rsid w:val="00F86BF3"/>
    <w:rsid w:val="00FA4390"/>
    <w:rsid w:val="00FD34B2"/>
    <w:rsid w:val="00FF6F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13DC7"/>
  <w15:chartTrackingRefBased/>
  <w15:docId w15:val="{086F1FA1-2A3D-45D3-B478-9124D499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next w:val="Normal"/>
    <w:link w:val="Ttulo1Car"/>
    <w:uiPriority w:val="9"/>
    <w:qFormat/>
    <w:rsid w:val="001952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952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952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952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952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952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952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952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952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952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952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952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952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952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952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952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952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952A8"/>
    <w:rPr>
      <w:rFonts w:eastAsiaTheme="majorEastAsia" w:cstheme="majorBidi"/>
      <w:color w:val="272727" w:themeColor="text1" w:themeTint="D8"/>
    </w:rPr>
  </w:style>
  <w:style w:type="paragraph" w:styleId="Ttulo">
    <w:name w:val="Title"/>
    <w:basedOn w:val="Normal"/>
    <w:next w:val="Normal"/>
    <w:link w:val="TtuloCar"/>
    <w:uiPriority w:val="10"/>
    <w:qFormat/>
    <w:rsid w:val="001952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952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952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952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952A8"/>
    <w:pPr>
      <w:spacing w:before="160"/>
      <w:jc w:val="center"/>
    </w:pPr>
    <w:rPr>
      <w:i/>
      <w:iCs/>
      <w:color w:val="404040" w:themeColor="text1" w:themeTint="BF"/>
    </w:rPr>
  </w:style>
  <w:style w:type="character" w:customStyle="1" w:styleId="CitaCar">
    <w:name w:val="Cita Car"/>
    <w:basedOn w:val="Fuentedeprrafopredeter"/>
    <w:link w:val="Cita"/>
    <w:uiPriority w:val="29"/>
    <w:rsid w:val="001952A8"/>
    <w:rPr>
      <w:i/>
      <w:iCs/>
      <w:color w:val="404040" w:themeColor="text1" w:themeTint="BF"/>
    </w:rPr>
  </w:style>
  <w:style w:type="paragraph" w:styleId="Prrafodelista">
    <w:name w:val="List Paragraph"/>
    <w:basedOn w:val="Normal"/>
    <w:uiPriority w:val="1"/>
    <w:qFormat/>
    <w:rsid w:val="001952A8"/>
    <w:pPr>
      <w:ind w:left="720"/>
      <w:contextualSpacing/>
    </w:pPr>
  </w:style>
  <w:style w:type="character" w:styleId="nfasisintenso">
    <w:name w:val="Intense Emphasis"/>
    <w:basedOn w:val="Fuentedeprrafopredeter"/>
    <w:uiPriority w:val="21"/>
    <w:qFormat/>
    <w:rsid w:val="001952A8"/>
    <w:rPr>
      <w:i/>
      <w:iCs/>
      <w:color w:val="0F4761" w:themeColor="accent1" w:themeShade="BF"/>
    </w:rPr>
  </w:style>
  <w:style w:type="paragraph" w:styleId="Citadestacada">
    <w:name w:val="Intense Quote"/>
    <w:basedOn w:val="Normal"/>
    <w:next w:val="Normal"/>
    <w:link w:val="CitadestacadaCar"/>
    <w:uiPriority w:val="30"/>
    <w:qFormat/>
    <w:rsid w:val="001952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952A8"/>
    <w:rPr>
      <w:i/>
      <w:iCs/>
      <w:color w:val="0F4761" w:themeColor="accent1" w:themeShade="BF"/>
    </w:rPr>
  </w:style>
  <w:style w:type="character" w:styleId="Referenciaintensa">
    <w:name w:val="Intense Reference"/>
    <w:basedOn w:val="Fuentedeprrafopredeter"/>
    <w:uiPriority w:val="32"/>
    <w:qFormat/>
    <w:rsid w:val="001952A8"/>
    <w:rPr>
      <w:b/>
      <w:bCs/>
      <w:smallCaps/>
      <w:color w:val="0F4761" w:themeColor="accent1" w:themeShade="BF"/>
      <w:spacing w:val="5"/>
    </w:rPr>
  </w:style>
  <w:style w:type="paragraph" w:styleId="NormalWeb">
    <w:name w:val="Normal (Web)"/>
    <w:basedOn w:val="Normal"/>
    <w:uiPriority w:val="99"/>
    <w:semiHidden/>
    <w:unhideWhenUsed/>
    <w:rsid w:val="00C45DE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5529">
      <w:bodyDiv w:val="1"/>
      <w:marLeft w:val="0"/>
      <w:marRight w:val="0"/>
      <w:marTop w:val="0"/>
      <w:marBottom w:val="0"/>
      <w:divBdr>
        <w:top w:val="none" w:sz="0" w:space="0" w:color="auto"/>
        <w:left w:val="none" w:sz="0" w:space="0" w:color="auto"/>
        <w:bottom w:val="none" w:sz="0" w:space="0" w:color="auto"/>
        <w:right w:val="none" w:sz="0" w:space="0" w:color="auto"/>
      </w:divBdr>
    </w:div>
    <w:div w:id="713116558">
      <w:bodyDiv w:val="1"/>
      <w:marLeft w:val="0"/>
      <w:marRight w:val="0"/>
      <w:marTop w:val="0"/>
      <w:marBottom w:val="0"/>
      <w:divBdr>
        <w:top w:val="none" w:sz="0" w:space="0" w:color="auto"/>
        <w:left w:val="none" w:sz="0" w:space="0" w:color="auto"/>
        <w:bottom w:val="none" w:sz="0" w:space="0" w:color="auto"/>
        <w:right w:val="none" w:sz="0" w:space="0" w:color="auto"/>
      </w:divBdr>
    </w:div>
    <w:div w:id="713693388">
      <w:bodyDiv w:val="1"/>
      <w:marLeft w:val="0"/>
      <w:marRight w:val="0"/>
      <w:marTop w:val="0"/>
      <w:marBottom w:val="0"/>
      <w:divBdr>
        <w:top w:val="none" w:sz="0" w:space="0" w:color="auto"/>
        <w:left w:val="none" w:sz="0" w:space="0" w:color="auto"/>
        <w:bottom w:val="none" w:sz="0" w:space="0" w:color="auto"/>
        <w:right w:val="none" w:sz="0" w:space="0" w:color="auto"/>
      </w:divBdr>
    </w:div>
    <w:div w:id="1200515249">
      <w:bodyDiv w:val="1"/>
      <w:marLeft w:val="0"/>
      <w:marRight w:val="0"/>
      <w:marTop w:val="0"/>
      <w:marBottom w:val="0"/>
      <w:divBdr>
        <w:top w:val="none" w:sz="0" w:space="0" w:color="auto"/>
        <w:left w:val="none" w:sz="0" w:space="0" w:color="auto"/>
        <w:bottom w:val="none" w:sz="0" w:space="0" w:color="auto"/>
        <w:right w:val="none" w:sz="0" w:space="0" w:color="auto"/>
      </w:divBdr>
    </w:div>
    <w:div w:id="162604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DFF09-934B-4EC0-9D34-3908C10C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1729</Words>
  <Characters>9510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NOTARÍA ÚNICA DEL CÍRCULO GIGANTE - HUILA</dc:creator>
  <cp:keywords/>
  <dc:description/>
  <cp:lastModifiedBy>Leidy Avila Rojas</cp:lastModifiedBy>
  <cp:revision>3</cp:revision>
  <dcterms:created xsi:type="dcterms:W3CDTF">2025-01-23T20:44:00Z</dcterms:created>
  <dcterms:modified xsi:type="dcterms:W3CDTF">2025-01-23T20:44:00Z</dcterms:modified>
</cp:coreProperties>
</file>